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05CE2" w14:textId="77777777" w:rsidR="006B2276" w:rsidRPr="004C0D64" w:rsidRDefault="006B2276" w:rsidP="006B2276">
      <w:pPr>
        <w:rPr>
          <w:rFonts w:eastAsia="Times New Roman"/>
          <w:b/>
          <w:color w:val="FF0000"/>
        </w:rPr>
      </w:pPr>
    </w:p>
    <w:p w14:paraId="326829A3" w14:textId="77777777" w:rsidR="006B2276" w:rsidRPr="00032383" w:rsidRDefault="006B2276" w:rsidP="006B2276">
      <w:pPr>
        <w:rPr>
          <w:rFonts w:eastAsia="Times New Roman"/>
          <w:b/>
        </w:rPr>
      </w:pPr>
    </w:p>
    <w:p w14:paraId="61121C64" w14:textId="77777777" w:rsidR="006B2276" w:rsidRPr="00032383" w:rsidRDefault="006B2276" w:rsidP="006B2276">
      <w:pPr>
        <w:rPr>
          <w:rFonts w:eastAsia="Times New Roman"/>
        </w:rPr>
      </w:pPr>
    </w:p>
    <w:p w14:paraId="0ED821CA" w14:textId="77777777" w:rsidR="006B2276" w:rsidRPr="00032383" w:rsidRDefault="006B2276" w:rsidP="006B2276">
      <w:pPr>
        <w:rPr>
          <w:rFonts w:eastAsia="Times New Roman"/>
        </w:rPr>
      </w:pPr>
    </w:p>
    <w:p w14:paraId="149506B8" w14:textId="77777777" w:rsidR="006B2276" w:rsidRPr="00032383" w:rsidRDefault="006B2276" w:rsidP="006B2276">
      <w:pPr>
        <w:rPr>
          <w:rFonts w:eastAsia="Times New Roman"/>
        </w:rPr>
      </w:pPr>
    </w:p>
    <w:p w14:paraId="342F8D7F" w14:textId="77777777" w:rsidR="006B2276" w:rsidRPr="00032383" w:rsidRDefault="006B2276" w:rsidP="006B2276">
      <w:pPr>
        <w:rPr>
          <w:rFonts w:eastAsia="Times New Roman"/>
        </w:rPr>
      </w:pPr>
    </w:p>
    <w:p w14:paraId="1F541402" w14:textId="77777777" w:rsidR="006B2276" w:rsidRPr="00032383" w:rsidRDefault="006B2276" w:rsidP="006B2276">
      <w:pPr>
        <w:rPr>
          <w:rFonts w:eastAsia="Times New Roman"/>
        </w:rPr>
      </w:pPr>
    </w:p>
    <w:p w14:paraId="77906684" w14:textId="77777777" w:rsidR="006B2276" w:rsidRPr="00032383" w:rsidRDefault="006B2276" w:rsidP="005236D1">
      <w:pPr>
        <w:jc w:val="center"/>
        <w:rPr>
          <w:rFonts w:eastAsia="Times New Roman"/>
          <w:b/>
          <w:sz w:val="52"/>
          <w:szCs w:val="52"/>
        </w:rPr>
      </w:pPr>
      <w:r w:rsidRPr="00032383">
        <w:rPr>
          <w:rFonts w:eastAsia="Times New Roman"/>
          <w:b/>
          <w:sz w:val="52"/>
          <w:szCs w:val="52"/>
        </w:rPr>
        <w:t>Information Sharing Agreement</w:t>
      </w:r>
    </w:p>
    <w:p w14:paraId="79B9D554" w14:textId="77777777" w:rsidR="006B2276" w:rsidRPr="00032383" w:rsidRDefault="006B2276" w:rsidP="005236D1">
      <w:pPr>
        <w:jc w:val="center"/>
        <w:rPr>
          <w:rFonts w:eastAsia="Times New Roman"/>
          <w:b/>
          <w:sz w:val="52"/>
          <w:szCs w:val="52"/>
        </w:rPr>
      </w:pPr>
      <w:r w:rsidRPr="00032383">
        <w:rPr>
          <w:rFonts w:eastAsia="Times New Roman"/>
          <w:b/>
          <w:sz w:val="52"/>
          <w:szCs w:val="52"/>
        </w:rPr>
        <w:t>for</w:t>
      </w:r>
    </w:p>
    <w:p w14:paraId="6939EFA0" w14:textId="77777777" w:rsidR="007E1C2D" w:rsidRDefault="005236D1" w:rsidP="005236D1">
      <w:pPr>
        <w:jc w:val="center"/>
        <w:rPr>
          <w:rFonts w:eastAsia="Times New Roman"/>
          <w:b/>
          <w:sz w:val="52"/>
          <w:szCs w:val="52"/>
        </w:rPr>
      </w:pPr>
      <w:r>
        <w:rPr>
          <w:rFonts w:eastAsia="Times New Roman"/>
          <w:b/>
          <w:sz w:val="52"/>
          <w:szCs w:val="52"/>
        </w:rPr>
        <w:t>t</w:t>
      </w:r>
      <w:r w:rsidR="00A602FF">
        <w:rPr>
          <w:rFonts w:eastAsia="Times New Roman"/>
          <w:b/>
          <w:sz w:val="52"/>
          <w:szCs w:val="52"/>
        </w:rPr>
        <w:t>he</w:t>
      </w:r>
    </w:p>
    <w:p w14:paraId="6EAAAD8E" w14:textId="77777777" w:rsidR="007E1C2D" w:rsidRDefault="00581526" w:rsidP="005236D1">
      <w:pPr>
        <w:jc w:val="center"/>
        <w:rPr>
          <w:rFonts w:eastAsia="Times New Roman"/>
          <w:b/>
          <w:sz w:val="52"/>
          <w:szCs w:val="52"/>
        </w:rPr>
      </w:pPr>
      <w:r>
        <w:rPr>
          <w:rFonts w:eastAsia="Times New Roman"/>
          <w:b/>
          <w:sz w:val="52"/>
          <w:szCs w:val="52"/>
        </w:rPr>
        <w:t>South Shropshire Medical Group (SSMG)</w:t>
      </w:r>
      <w:r w:rsidR="005236D1">
        <w:rPr>
          <w:rFonts w:eastAsia="Times New Roman"/>
          <w:b/>
          <w:sz w:val="52"/>
          <w:szCs w:val="52"/>
        </w:rPr>
        <w:t xml:space="preserve"> </w:t>
      </w:r>
    </w:p>
    <w:p w14:paraId="24D11806" w14:textId="77777777" w:rsidR="006B2276" w:rsidRDefault="007E1C2D" w:rsidP="005236D1">
      <w:pPr>
        <w:jc w:val="center"/>
        <w:rPr>
          <w:rFonts w:eastAsia="Times New Roman"/>
          <w:b/>
          <w:sz w:val="52"/>
          <w:szCs w:val="52"/>
        </w:rPr>
      </w:pPr>
      <w:r>
        <w:rPr>
          <w:rFonts w:eastAsia="Times New Roman"/>
          <w:b/>
          <w:sz w:val="52"/>
          <w:szCs w:val="52"/>
        </w:rPr>
        <w:t>Primary C</w:t>
      </w:r>
      <w:r w:rsidR="00A602FF">
        <w:rPr>
          <w:rFonts w:eastAsia="Times New Roman"/>
          <w:b/>
          <w:sz w:val="52"/>
          <w:szCs w:val="52"/>
        </w:rPr>
        <w:t xml:space="preserve">are </w:t>
      </w:r>
      <w:r w:rsidR="005236D1">
        <w:rPr>
          <w:rFonts w:eastAsia="Times New Roman"/>
          <w:b/>
          <w:sz w:val="52"/>
          <w:szCs w:val="52"/>
        </w:rPr>
        <w:t>Extended Access Scheme</w:t>
      </w:r>
    </w:p>
    <w:p w14:paraId="04936657" w14:textId="77777777" w:rsidR="00057EF7" w:rsidRDefault="00057EF7" w:rsidP="004B0E8B">
      <w:pPr>
        <w:jc w:val="center"/>
        <w:rPr>
          <w:rFonts w:eastAsia="Times New Roman"/>
          <w:b/>
          <w:sz w:val="52"/>
          <w:szCs w:val="52"/>
        </w:rPr>
      </w:pPr>
    </w:p>
    <w:p w14:paraId="25C9C803" w14:textId="77777777" w:rsidR="00057EF7" w:rsidRPr="00032383" w:rsidRDefault="00057EF7" w:rsidP="004B0E8B">
      <w:pPr>
        <w:jc w:val="center"/>
        <w:rPr>
          <w:rFonts w:eastAsia="Times New Roman"/>
        </w:rPr>
      </w:pPr>
    </w:p>
    <w:p w14:paraId="490ADB9A" w14:textId="77777777" w:rsidR="006B2276" w:rsidRPr="00032383" w:rsidRDefault="006B2276" w:rsidP="006B2276">
      <w:pPr>
        <w:rPr>
          <w:rFonts w:eastAsia="Times New Roman"/>
        </w:rPr>
      </w:pPr>
    </w:p>
    <w:p w14:paraId="40978BD8" w14:textId="77777777" w:rsidR="006B2276" w:rsidRPr="00032383" w:rsidRDefault="006B2276" w:rsidP="006B2276">
      <w:pPr>
        <w:ind w:firstLine="720"/>
        <w:rPr>
          <w:rFonts w:eastAsia="Times New Roman"/>
        </w:rPr>
      </w:pPr>
    </w:p>
    <w:p w14:paraId="10DCC2B3" w14:textId="77777777" w:rsidR="006B2276" w:rsidRPr="00032383" w:rsidRDefault="006B2276" w:rsidP="006B2276">
      <w:pPr>
        <w:rPr>
          <w:rFonts w:eastAsia="Times New Roman"/>
        </w:rPr>
      </w:pPr>
    </w:p>
    <w:p w14:paraId="00260FB8" w14:textId="77777777" w:rsidR="006B2276" w:rsidRPr="00032383" w:rsidRDefault="006B2276" w:rsidP="006B2276">
      <w:pPr>
        <w:rPr>
          <w:rFonts w:eastAsia="Times New Roman"/>
        </w:rPr>
      </w:pPr>
    </w:p>
    <w:p w14:paraId="4F35AC48" w14:textId="77777777" w:rsidR="006B2276" w:rsidRPr="00032383" w:rsidRDefault="006B2276" w:rsidP="006B2276">
      <w:pPr>
        <w:rPr>
          <w:rFonts w:eastAsia="Times New Roman"/>
        </w:rPr>
      </w:pPr>
    </w:p>
    <w:p w14:paraId="591F26F7" w14:textId="77777777" w:rsidR="004E1621" w:rsidRDefault="004E1621">
      <w:pPr>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6B2276" w:rsidRPr="00032383" w14:paraId="35E14E17" w14:textId="77777777" w:rsidTr="004F6241">
        <w:tc>
          <w:tcPr>
            <w:tcW w:w="8789" w:type="dxa"/>
            <w:gridSpan w:val="2"/>
            <w:tcBorders>
              <w:top w:val="single" w:sz="4" w:space="0" w:color="auto"/>
              <w:left w:val="single" w:sz="4" w:space="0" w:color="auto"/>
              <w:bottom w:val="single" w:sz="4" w:space="0" w:color="auto"/>
              <w:right w:val="single" w:sz="4" w:space="0" w:color="auto"/>
            </w:tcBorders>
            <w:shd w:val="clear" w:color="auto" w:fill="D9D9D9"/>
          </w:tcPr>
          <w:p w14:paraId="1B26ADAC" w14:textId="77777777" w:rsidR="006B2276" w:rsidRPr="00032383" w:rsidRDefault="006B2276" w:rsidP="004F6241">
            <w:pPr>
              <w:spacing w:before="120" w:line="360" w:lineRule="auto"/>
              <w:jc w:val="both"/>
              <w:rPr>
                <w:rFonts w:eastAsia="Times New Roman" w:cs="Times New Roman"/>
                <w:b/>
                <w:sz w:val="28"/>
                <w:szCs w:val="28"/>
                <w:lang w:eastAsia="en-GB"/>
              </w:rPr>
            </w:pPr>
            <w:r w:rsidRPr="00032383">
              <w:rPr>
                <w:rFonts w:eastAsia="Times New Roman" w:cs="Times New Roman"/>
                <w:b/>
                <w:sz w:val="28"/>
                <w:szCs w:val="28"/>
                <w:lang w:eastAsia="en-GB"/>
              </w:rPr>
              <w:lastRenderedPageBreak/>
              <w:t>Information Reader Box</w:t>
            </w:r>
          </w:p>
        </w:tc>
      </w:tr>
      <w:tr w:rsidR="006B2276" w:rsidRPr="00032383" w14:paraId="31A76B21" w14:textId="77777777" w:rsidTr="004F6241">
        <w:trPr>
          <w:trHeight w:hRule="exact" w:val="120"/>
        </w:trPr>
        <w:tc>
          <w:tcPr>
            <w:tcW w:w="8789" w:type="dxa"/>
            <w:gridSpan w:val="2"/>
            <w:tcBorders>
              <w:top w:val="single" w:sz="4" w:space="0" w:color="auto"/>
              <w:left w:val="single" w:sz="4" w:space="0" w:color="auto"/>
              <w:bottom w:val="single" w:sz="4" w:space="0" w:color="auto"/>
              <w:right w:val="single" w:sz="4" w:space="0" w:color="auto"/>
            </w:tcBorders>
          </w:tcPr>
          <w:p w14:paraId="1F7DA173" w14:textId="77777777" w:rsidR="006B2276" w:rsidRPr="00032383" w:rsidRDefault="006B2276" w:rsidP="004F6241">
            <w:pPr>
              <w:spacing w:before="120" w:line="360" w:lineRule="auto"/>
              <w:rPr>
                <w:rFonts w:eastAsia="Times New Roman" w:cs="Times New Roman"/>
                <w:sz w:val="20"/>
                <w:szCs w:val="20"/>
              </w:rPr>
            </w:pPr>
          </w:p>
        </w:tc>
      </w:tr>
      <w:tr w:rsidR="006B2276" w:rsidRPr="00032383" w14:paraId="0093548E" w14:textId="77777777" w:rsidTr="004F6241">
        <w:trPr>
          <w:trHeight w:val="416"/>
        </w:trPr>
        <w:tc>
          <w:tcPr>
            <w:tcW w:w="8789" w:type="dxa"/>
            <w:gridSpan w:val="2"/>
            <w:tcBorders>
              <w:top w:val="single" w:sz="4" w:space="0" w:color="auto"/>
              <w:left w:val="single" w:sz="4" w:space="0" w:color="auto"/>
              <w:right w:val="single" w:sz="4" w:space="0" w:color="auto"/>
            </w:tcBorders>
            <w:shd w:val="clear" w:color="auto" w:fill="FFFFFF"/>
          </w:tcPr>
          <w:p w14:paraId="7EC5AD39" w14:textId="77777777" w:rsidR="006B2276" w:rsidRPr="00032383" w:rsidRDefault="006B2276" w:rsidP="004F6241">
            <w:pPr>
              <w:tabs>
                <w:tab w:val="left" w:pos="2444"/>
              </w:tabs>
              <w:spacing w:before="120" w:line="360" w:lineRule="auto"/>
              <w:rPr>
                <w:rFonts w:eastAsia="Times New Roman" w:cs="Times New Roman"/>
                <w:sz w:val="20"/>
                <w:szCs w:val="20"/>
              </w:rPr>
            </w:pPr>
            <w:r w:rsidRPr="00032383">
              <w:rPr>
                <w:rFonts w:eastAsia="Times New Roman" w:cs="Times New Roman"/>
                <w:sz w:val="20"/>
                <w:szCs w:val="20"/>
              </w:rPr>
              <w:t>Directorate</w:t>
            </w:r>
            <w:r>
              <w:rPr>
                <w:rFonts w:eastAsia="Times New Roman" w:cs="Times New Roman"/>
                <w:sz w:val="20"/>
                <w:szCs w:val="20"/>
              </w:rPr>
              <w:t xml:space="preserve">                       Information Governance</w:t>
            </w:r>
            <w:r w:rsidRPr="00032383">
              <w:rPr>
                <w:rFonts w:eastAsia="Times New Roman" w:cs="Times New Roman"/>
                <w:sz w:val="20"/>
                <w:szCs w:val="20"/>
              </w:rPr>
              <w:t xml:space="preserve">       </w:t>
            </w:r>
          </w:p>
        </w:tc>
      </w:tr>
      <w:tr w:rsidR="006B2276" w:rsidRPr="00032383" w14:paraId="63CAF7F8" w14:textId="77777777" w:rsidTr="004F6241">
        <w:trPr>
          <w:trHeight w:val="416"/>
        </w:trPr>
        <w:tc>
          <w:tcPr>
            <w:tcW w:w="8789" w:type="dxa"/>
            <w:gridSpan w:val="2"/>
            <w:tcBorders>
              <w:top w:val="single" w:sz="4" w:space="0" w:color="auto"/>
              <w:left w:val="single" w:sz="4" w:space="0" w:color="auto"/>
              <w:right w:val="single" w:sz="4" w:space="0" w:color="auto"/>
            </w:tcBorders>
            <w:shd w:val="clear" w:color="auto" w:fill="FFFFFF"/>
          </w:tcPr>
          <w:p w14:paraId="2F1F6DFB" w14:textId="77777777" w:rsidR="006B2276" w:rsidRPr="00032383" w:rsidRDefault="006B2276" w:rsidP="004F6241">
            <w:pPr>
              <w:tabs>
                <w:tab w:val="left" w:pos="2444"/>
              </w:tabs>
              <w:spacing w:before="120" w:line="360" w:lineRule="auto"/>
              <w:rPr>
                <w:rFonts w:eastAsia="Times New Roman" w:cs="Times New Roman"/>
                <w:sz w:val="20"/>
                <w:szCs w:val="20"/>
              </w:rPr>
            </w:pPr>
            <w:r w:rsidRPr="00032383">
              <w:rPr>
                <w:rFonts w:eastAsia="Times New Roman" w:cs="Times New Roman"/>
                <w:sz w:val="20"/>
                <w:szCs w:val="20"/>
              </w:rPr>
              <w:t xml:space="preserve">Purpose      </w:t>
            </w:r>
            <w:r>
              <w:rPr>
                <w:rFonts w:eastAsia="Times New Roman" w:cs="Times New Roman"/>
                <w:sz w:val="20"/>
                <w:szCs w:val="20"/>
              </w:rPr>
              <w:t xml:space="preserve">                     Contract/Agreement to allow information to be shared/processed</w:t>
            </w:r>
            <w:r w:rsidRPr="00032383">
              <w:rPr>
                <w:rFonts w:eastAsia="Times New Roman" w:cs="Times New Roman"/>
                <w:sz w:val="20"/>
                <w:szCs w:val="20"/>
              </w:rPr>
              <w:t xml:space="preserve">       </w:t>
            </w:r>
          </w:p>
        </w:tc>
      </w:tr>
      <w:tr w:rsidR="006B2276" w:rsidRPr="00032383" w14:paraId="672498C8" w14:textId="77777777" w:rsidTr="004F6241">
        <w:tc>
          <w:tcPr>
            <w:tcW w:w="2410" w:type="dxa"/>
            <w:tcBorders>
              <w:top w:val="single" w:sz="4" w:space="0" w:color="auto"/>
              <w:left w:val="single" w:sz="4" w:space="0" w:color="auto"/>
              <w:bottom w:val="single" w:sz="4" w:space="0" w:color="auto"/>
              <w:right w:val="single" w:sz="4" w:space="0" w:color="auto"/>
            </w:tcBorders>
          </w:tcPr>
          <w:p w14:paraId="7C97DCDD" w14:textId="77777777" w:rsidR="006B2276" w:rsidRPr="00032383" w:rsidRDefault="006B2276" w:rsidP="004F6241">
            <w:pPr>
              <w:spacing w:before="120" w:line="360" w:lineRule="auto"/>
              <w:rPr>
                <w:rFonts w:eastAsia="Times New Roman" w:cs="Times New Roman"/>
                <w:sz w:val="20"/>
                <w:szCs w:val="20"/>
              </w:rPr>
            </w:pPr>
            <w:r w:rsidRPr="00032383">
              <w:rPr>
                <w:rFonts w:eastAsia="Times New Roman" w:cs="Times New Roman"/>
                <w:sz w:val="20"/>
                <w:szCs w:val="20"/>
              </w:rPr>
              <w:t>Document reference</w:t>
            </w:r>
          </w:p>
        </w:tc>
        <w:tc>
          <w:tcPr>
            <w:tcW w:w="6379" w:type="dxa"/>
            <w:tcBorders>
              <w:top w:val="single" w:sz="4" w:space="0" w:color="auto"/>
              <w:left w:val="single" w:sz="4" w:space="0" w:color="auto"/>
              <w:bottom w:val="single" w:sz="4" w:space="0" w:color="auto"/>
              <w:right w:val="single" w:sz="4" w:space="0" w:color="auto"/>
            </w:tcBorders>
          </w:tcPr>
          <w:p w14:paraId="690104DE" w14:textId="77777777" w:rsidR="006B2276" w:rsidRPr="000D0D7C" w:rsidRDefault="00581526" w:rsidP="004F6241">
            <w:pPr>
              <w:spacing w:before="120" w:line="360" w:lineRule="auto"/>
              <w:rPr>
                <w:rFonts w:eastAsia="Times New Roman" w:cs="Times New Roman"/>
                <w:sz w:val="20"/>
                <w:szCs w:val="20"/>
              </w:rPr>
            </w:pPr>
            <w:r>
              <w:rPr>
                <w:rFonts w:eastAsia="Times New Roman" w:cs="Times New Roman"/>
                <w:sz w:val="20"/>
                <w:szCs w:val="20"/>
              </w:rPr>
              <w:t>South Shropshire Medical Group Data Sharing Agreement</w:t>
            </w:r>
            <w:r w:rsidR="00A8693A">
              <w:rPr>
                <w:rFonts w:eastAsia="Times New Roman" w:cs="Times New Roman"/>
                <w:sz w:val="20"/>
                <w:szCs w:val="20"/>
              </w:rPr>
              <w:t xml:space="preserve"> v2</w:t>
            </w:r>
            <w:r w:rsidR="005236D1">
              <w:rPr>
                <w:rFonts w:eastAsia="Times New Roman" w:cs="Times New Roman"/>
                <w:sz w:val="20"/>
                <w:szCs w:val="20"/>
              </w:rPr>
              <w:t>.0</w:t>
            </w:r>
          </w:p>
        </w:tc>
      </w:tr>
      <w:tr w:rsidR="006B2276" w:rsidRPr="00032383" w14:paraId="1A671114" w14:textId="77777777" w:rsidTr="004F6241">
        <w:tc>
          <w:tcPr>
            <w:tcW w:w="2410" w:type="dxa"/>
            <w:tcBorders>
              <w:top w:val="single" w:sz="4" w:space="0" w:color="auto"/>
              <w:left w:val="single" w:sz="4" w:space="0" w:color="auto"/>
              <w:bottom w:val="single" w:sz="4" w:space="0" w:color="auto"/>
              <w:right w:val="single" w:sz="4" w:space="0" w:color="auto"/>
            </w:tcBorders>
          </w:tcPr>
          <w:p w14:paraId="02060C39" w14:textId="77777777" w:rsidR="006B2276" w:rsidRPr="00032383" w:rsidRDefault="006B2276" w:rsidP="004F6241">
            <w:pPr>
              <w:spacing w:before="120" w:line="360" w:lineRule="auto"/>
              <w:rPr>
                <w:rFonts w:eastAsia="Times New Roman" w:cs="Times New Roman"/>
                <w:sz w:val="20"/>
                <w:szCs w:val="20"/>
                <w:lang w:val="x-none"/>
              </w:rPr>
            </w:pPr>
            <w:r w:rsidRPr="00032383">
              <w:rPr>
                <w:rFonts w:eastAsia="Times New Roman" w:cs="Times New Roman"/>
                <w:sz w:val="20"/>
                <w:szCs w:val="20"/>
                <w:lang w:val="x-none"/>
              </w:rPr>
              <w:t>Document Name</w:t>
            </w:r>
          </w:p>
        </w:tc>
        <w:tc>
          <w:tcPr>
            <w:tcW w:w="6379" w:type="dxa"/>
            <w:tcBorders>
              <w:top w:val="single" w:sz="4" w:space="0" w:color="auto"/>
              <w:left w:val="single" w:sz="4" w:space="0" w:color="auto"/>
              <w:bottom w:val="single" w:sz="4" w:space="0" w:color="auto"/>
              <w:right w:val="single" w:sz="4" w:space="0" w:color="auto"/>
            </w:tcBorders>
          </w:tcPr>
          <w:p w14:paraId="3D0F98D6" w14:textId="77777777" w:rsidR="006B2276" w:rsidRPr="00032383" w:rsidRDefault="006B2276" w:rsidP="005236D1">
            <w:pPr>
              <w:spacing w:before="120" w:line="360" w:lineRule="auto"/>
              <w:rPr>
                <w:rFonts w:eastAsia="Times New Roman" w:cs="Times New Roman"/>
                <w:sz w:val="20"/>
                <w:szCs w:val="20"/>
              </w:rPr>
            </w:pPr>
            <w:r>
              <w:rPr>
                <w:rFonts w:eastAsia="Times New Roman" w:cs="Times New Roman"/>
                <w:sz w:val="20"/>
                <w:szCs w:val="20"/>
              </w:rPr>
              <w:t xml:space="preserve">Information Sharing Agreement for </w:t>
            </w:r>
            <w:r w:rsidR="00581526">
              <w:rPr>
                <w:rFonts w:eastAsia="Times New Roman" w:cs="Times New Roman"/>
                <w:sz w:val="20"/>
                <w:szCs w:val="20"/>
              </w:rPr>
              <w:t xml:space="preserve">South Shropshire Medical Group </w:t>
            </w:r>
            <w:r w:rsidR="005236D1">
              <w:rPr>
                <w:rFonts w:eastAsia="Times New Roman" w:cs="Times New Roman"/>
                <w:sz w:val="20"/>
                <w:szCs w:val="20"/>
              </w:rPr>
              <w:t>Extended Access Scheme</w:t>
            </w:r>
          </w:p>
        </w:tc>
      </w:tr>
      <w:tr w:rsidR="006B2276" w:rsidRPr="00032383" w14:paraId="4D9BEFEF" w14:textId="77777777" w:rsidTr="004F6241">
        <w:tc>
          <w:tcPr>
            <w:tcW w:w="2410" w:type="dxa"/>
            <w:tcBorders>
              <w:top w:val="single" w:sz="4" w:space="0" w:color="auto"/>
              <w:left w:val="single" w:sz="4" w:space="0" w:color="auto"/>
              <w:bottom w:val="single" w:sz="4" w:space="0" w:color="auto"/>
              <w:right w:val="single" w:sz="4" w:space="0" w:color="auto"/>
            </w:tcBorders>
          </w:tcPr>
          <w:p w14:paraId="7F06F3BE" w14:textId="77777777" w:rsidR="006B2276" w:rsidRPr="00032383" w:rsidRDefault="006B2276" w:rsidP="004F6241">
            <w:pPr>
              <w:spacing w:before="120" w:line="360" w:lineRule="auto"/>
              <w:rPr>
                <w:rFonts w:eastAsia="Times New Roman" w:cs="Times New Roman"/>
                <w:sz w:val="20"/>
                <w:szCs w:val="20"/>
              </w:rPr>
            </w:pPr>
            <w:r w:rsidRPr="00032383">
              <w:rPr>
                <w:rFonts w:eastAsia="Times New Roman" w:cs="Times New Roman"/>
                <w:sz w:val="20"/>
                <w:szCs w:val="20"/>
              </w:rPr>
              <w:t>Author</w:t>
            </w:r>
          </w:p>
        </w:tc>
        <w:tc>
          <w:tcPr>
            <w:tcW w:w="6379" w:type="dxa"/>
            <w:tcBorders>
              <w:top w:val="single" w:sz="4" w:space="0" w:color="auto"/>
              <w:left w:val="single" w:sz="4" w:space="0" w:color="auto"/>
              <w:bottom w:val="single" w:sz="4" w:space="0" w:color="auto"/>
              <w:right w:val="single" w:sz="4" w:space="0" w:color="auto"/>
            </w:tcBorders>
          </w:tcPr>
          <w:p w14:paraId="48C1CB2A" w14:textId="77777777" w:rsidR="006B2276" w:rsidRPr="009F7215" w:rsidRDefault="00745E6D" w:rsidP="004F6241">
            <w:pPr>
              <w:spacing w:before="120" w:line="360" w:lineRule="auto"/>
              <w:rPr>
                <w:rFonts w:eastAsia="Times New Roman" w:cs="Times New Roman"/>
                <w:sz w:val="20"/>
                <w:szCs w:val="20"/>
              </w:rPr>
            </w:pPr>
            <w:r>
              <w:rPr>
                <w:rFonts w:eastAsia="Times New Roman" w:cs="Times New Roman"/>
                <w:sz w:val="20"/>
                <w:szCs w:val="20"/>
              </w:rPr>
              <w:t>SSMG Governance Board</w:t>
            </w:r>
          </w:p>
        </w:tc>
      </w:tr>
      <w:tr w:rsidR="006B2276" w:rsidRPr="00032383" w14:paraId="5A20B833" w14:textId="77777777" w:rsidTr="004F6241">
        <w:tc>
          <w:tcPr>
            <w:tcW w:w="2410" w:type="dxa"/>
            <w:tcBorders>
              <w:top w:val="single" w:sz="4" w:space="0" w:color="auto"/>
              <w:left w:val="single" w:sz="4" w:space="0" w:color="auto"/>
              <w:bottom w:val="single" w:sz="4" w:space="0" w:color="auto"/>
              <w:right w:val="single" w:sz="4" w:space="0" w:color="auto"/>
            </w:tcBorders>
          </w:tcPr>
          <w:p w14:paraId="72509051" w14:textId="77777777" w:rsidR="006B2276" w:rsidRPr="00032383" w:rsidRDefault="006B2276" w:rsidP="004F6241">
            <w:pPr>
              <w:spacing w:before="120" w:line="360" w:lineRule="auto"/>
              <w:rPr>
                <w:rFonts w:eastAsia="Times New Roman" w:cs="Times New Roman"/>
                <w:sz w:val="20"/>
                <w:szCs w:val="20"/>
                <w:lang w:val="x-none"/>
              </w:rPr>
            </w:pPr>
            <w:r w:rsidRPr="00032383">
              <w:rPr>
                <w:rFonts w:eastAsia="Times New Roman" w:cs="Times New Roman"/>
                <w:sz w:val="20"/>
                <w:szCs w:val="20"/>
                <w:lang w:val="x-none"/>
              </w:rPr>
              <w:t>Publication Date</w:t>
            </w:r>
          </w:p>
        </w:tc>
        <w:tc>
          <w:tcPr>
            <w:tcW w:w="6379" w:type="dxa"/>
            <w:tcBorders>
              <w:top w:val="single" w:sz="4" w:space="0" w:color="auto"/>
              <w:left w:val="single" w:sz="4" w:space="0" w:color="auto"/>
              <w:bottom w:val="single" w:sz="4" w:space="0" w:color="auto"/>
              <w:right w:val="single" w:sz="4" w:space="0" w:color="auto"/>
            </w:tcBorders>
          </w:tcPr>
          <w:p w14:paraId="17BD743B" w14:textId="77777777" w:rsidR="006B2276" w:rsidRPr="00032383" w:rsidRDefault="00A8693A" w:rsidP="004F6241">
            <w:pPr>
              <w:spacing w:before="120" w:line="360" w:lineRule="auto"/>
              <w:rPr>
                <w:rFonts w:eastAsia="Times New Roman" w:cs="Times New Roman"/>
                <w:sz w:val="20"/>
                <w:szCs w:val="20"/>
              </w:rPr>
            </w:pPr>
            <w:r>
              <w:rPr>
                <w:rFonts w:eastAsia="Times New Roman" w:cs="Times New Roman"/>
                <w:sz w:val="20"/>
                <w:szCs w:val="20"/>
              </w:rPr>
              <w:t>3</w:t>
            </w:r>
            <w:r w:rsidRPr="00A8693A">
              <w:rPr>
                <w:rFonts w:eastAsia="Times New Roman" w:cs="Times New Roman"/>
                <w:sz w:val="20"/>
                <w:szCs w:val="20"/>
                <w:vertAlign w:val="superscript"/>
              </w:rPr>
              <w:t>rd</w:t>
            </w:r>
            <w:r>
              <w:rPr>
                <w:rFonts w:eastAsia="Times New Roman" w:cs="Times New Roman"/>
                <w:sz w:val="20"/>
                <w:szCs w:val="20"/>
              </w:rPr>
              <w:t xml:space="preserve"> August</w:t>
            </w:r>
            <w:r w:rsidR="005236D1">
              <w:rPr>
                <w:rFonts w:eastAsia="Times New Roman" w:cs="Times New Roman"/>
                <w:sz w:val="20"/>
                <w:szCs w:val="20"/>
              </w:rPr>
              <w:t xml:space="preserve"> 2018</w:t>
            </w:r>
          </w:p>
        </w:tc>
      </w:tr>
      <w:tr w:rsidR="006B2276" w:rsidRPr="00032383" w14:paraId="5078874B" w14:textId="77777777" w:rsidTr="004F6241">
        <w:tc>
          <w:tcPr>
            <w:tcW w:w="2410" w:type="dxa"/>
            <w:tcBorders>
              <w:top w:val="single" w:sz="4" w:space="0" w:color="auto"/>
              <w:left w:val="single" w:sz="4" w:space="0" w:color="auto"/>
              <w:bottom w:val="single" w:sz="4" w:space="0" w:color="auto"/>
              <w:right w:val="single" w:sz="4" w:space="0" w:color="auto"/>
            </w:tcBorders>
          </w:tcPr>
          <w:p w14:paraId="34476248" w14:textId="77777777" w:rsidR="006B2276" w:rsidRPr="00032383" w:rsidRDefault="006B2276" w:rsidP="004F6241">
            <w:pPr>
              <w:spacing w:before="120" w:line="360" w:lineRule="auto"/>
              <w:rPr>
                <w:rFonts w:eastAsia="Times New Roman" w:cs="Times New Roman"/>
                <w:sz w:val="20"/>
                <w:szCs w:val="20"/>
              </w:rPr>
            </w:pPr>
            <w:r w:rsidRPr="00032383">
              <w:rPr>
                <w:rFonts w:eastAsia="Times New Roman" w:cs="Times New Roman"/>
                <w:sz w:val="20"/>
                <w:szCs w:val="20"/>
              </w:rPr>
              <w:t>Review Date</w:t>
            </w:r>
          </w:p>
        </w:tc>
        <w:tc>
          <w:tcPr>
            <w:tcW w:w="6379" w:type="dxa"/>
            <w:tcBorders>
              <w:top w:val="single" w:sz="4" w:space="0" w:color="auto"/>
              <w:left w:val="single" w:sz="4" w:space="0" w:color="auto"/>
              <w:bottom w:val="single" w:sz="4" w:space="0" w:color="auto"/>
              <w:right w:val="single" w:sz="4" w:space="0" w:color="auto"/>
            </w:tcBorders>
          </w:tcPr>
          <w:p w14:paraId="31923142" w14:textId="77777777" w:rsidR="006B2276" w:rsidRPr="00032383" w:rsidRDefault="00581526" w:rsidP="004F6241">
            <w:pPr>
              <w:spacing w:before="120" w:line="360" w:lineRule="auto"/>
              <w:rPr>
                <w:rFonts w:eastAsia="Times New Roman" w:cs="Times New Roman"/>
                <w:sz w:val="20"/>
                <w:szCs w:val="20"/>
              </w:rPr>
            </w:pPr>
            <w:r>
              <w:rPr>
                <w:rFonts w:eastAsia="Times New Roman" w:cs="Times New Roman"/>
                <w:sz w:val="20"/>
                <w:szCs w:val="20"/>
              </w:rPr>
              <w:t>25</w:t>
            </w:r>
            <w:r w:rsidRPr="00581526">
              <w:rPr>
                <w:rFonts w:eastAsia="Times New Roman" w:cs="Times New Roman"/>
                <w:sz w:val="20"/>
                <w:szCs w:val="20"/>
                <w:vertAlign w:val="superscript"/>
              </w:rPr>
              <w:t>th</w:t>
            </w:r>
            <w:r>
              <w:rPr>
                <w:rFonts w:eastAsia="Times New Roman" w:cs="Times New Roman"/>
                <w:sz w:val="20"/>
                <w:szCs w:val="20"/>
              </w:rPr>
              <w:t xml:space="preserve"> July </w:t>
            </w:r>
            <w:r w:rsidR="0081261F">
              <w:rPr>
                <w:rFonts w:eastAsia="Times New Roman" w:cs="Times New Roman"/>
                <w:sz w:val="20"/>
                <w:szCs w:val="20"/>
              </w:rPr>
              <w:t>2019</w:t>
            </w:r>
          </w:p>
        </w:tc>
      </w:tr>
      <w:tr w:rsidR="006B2276" w:rsidRPr="00032383" w14:paraId="303B8027" w14:textId="77777777" w:rsidTr="004F6241">
        <w:tc>
          <w:tcPr>
            <w:tcW w:w="2410" w:type="dxa"/>
            <w:tcBorders>
              <w:top w:val="single" w:sz="4" w:space="0" w:color="auto"/>
              <w:left w:val="single" w:sz="4" w:space="0" w:color="auto"/>
              <w:bottom w:val="single" w:sz="4" w:space="0" w:color="auto"/>
              <w:right w:val="single" w:sz="4" w:space="0" w:color="auto"/>
            </w:tcBorders>
          </w:tcPr>
          <w:p w14:paraId="3AEB2BAD" w14:textId="77777777" w:rsidR="006B2276" w:rsidRPr="00032383" w:rsidRDefault="006B2276" w:rsidP="004F6241">
            <w:pPr>
              <w:spacing w:before="120" w:line="360" w:lineRule="auto"/>
              <w:rPr>
                <w:rFonts w:eastAsia="Times New Roman" w:cs="Times New Roman"/>
                <w:sz w:val="20"/>
                <w:szCs w:val="20"/>
                <w:lang w:val="x-none"/>
              </w:rPr>
            </w:pPr>
            <w:r w:rsidRPr="00032383">
              <w:rPr>
                <w:rFonts w:eastAsia="Times New Roman" w:cs="Times New Roman"/>
                <w:sz w:val="20"/>
                <w:szCs w:val="20"/>
                <w:lang w:val="x-none"/>
              </w:rPr>
              <w:t>Target Audience</w:t>
            </w:r>
          </w:p>
        </w:tc>
        <w:tc>
          <w:tcPr>
            <w:tcW w:w="6379" w:type="dxa"/>
            <w:tcBorders>
              <w:top w:val="single" w:sz="4" w:space="0" w:color="auto"/>
              <w:left w:val="single" w:sz="4" w:space="0" w:color="auto"/>
              <w:bottom w:val="single" w:sz="4" w:space="0" w:color="auto"/>
              <w:right w:val="single" w:sz="4" w:space="0" w:color="auto"/>
            </w:tcBorders>
          </w:tcPr>
          <w:p w14:paraId="6AF7671C" w14:textId="77777777" w:rsidR="006B2276" w:rsidRPr="00032383" w:rsidRDefault="00581526" w:rsidP="00057EF7">
            <w:pPr>
              <w:spacing w:before="120" w:line="360" w:lineRule="auto"/>
              <w:rPr>
                <w:rFonts w:eastAsia="Times New Roman" w:cs="Times New Roman"/>
                <w:sz w:val="20"/>
                <w:szCs w:val="20"/>
              </w:rPr>
            </w:pPr>
            <w:r>
              <w:rPr>
                <w:rFonts w:eastAsia="Times New Roman" w:cs="Times New Roman"/>
                <w:sz w:val="20"/>
                <w:szCs w:val="20"/>
              </w:rPr>
              <w:t>South Shropshire Medical Group Extended Access Scheme Member practices</w:t>
            </w:r>
          </w:p>
        </w:tc>
      </w:tr>
      <w:tr w:rsidR="006B2276" w:rsidRPr="00032383" w14:paraId="786E8949" w14:textId="77777777" w:rsidTr="004F6241">
        <w:tc>
          <w:tcPr>
            <w:tcW w:w="2410" w:type="dxa"/>
            <w:tcBorders>
              <w:top w:val="single" w:sz="4" w:space="0" w:color="auto"/>
              <w:left w:val="single" w:sz="4" w:space="0" w:color="auto"/>
              <w:bottom w:val="single" w:sz="4" w:space="0" w:color="auto"/>
              <w:right w:val="single" w:sz="4" w:space="0" w:color="auto"/>
            </w:tcBorders>
          </w:tcPr>
          <w:p w14:paraId="75B0300E" w14:textId="77777777" w:rsidR="006B2276" w:rsidRPr="00032383" w:rsidRDefault="006B2276" w:rsidP="004F6241">
            <w:pPr>
              <w:spacing w:before="120" w:line="360" w:lineRule="auto"/>
              <w:rPr>
                <w:rFonts w:eastAsia="Times New Roman" w:cs="Times New Roman"/>
                <w:sz w:val="20"/>
                <w:szCs w:val="20"/>
                <w:lang w:val="x-none"/>
              </w:rPr>
            </w:pPr>
            <w:r w:rsidRPr="00032383">
              <w:rPr>
                <w:rFonts w:eastAsia="Times New Roman" w:cs="Times New Roman"/>
                <w:sz w:val="20"/>
                <w:szCs w:val="20"/>
                <w:lang w:val="x-none"/>
              </w:rPr>
              <w:t>Description</w:t>
            </w:r>
          </w:p>
        </w:tc>
        <w:tc>
          <w:tcPr>
            <w:tcW w:w="6379" w:type="dxa"/>
            <w:tcBorders>
              <w:top w:val="single" w:sz="4" w:space="0" w:color="auto"/>
              <w:left w:val="single" w:sz="4" w:space="0" w:color="auto"/>
              <w:bottom w:val="single" w:sz="4" w:space="0" w:color="auto"/>
              <w:right w:val="single" w:sz="4" w:space="0" w:color="auto"/>
            </w:tcBorders>
          </w:tcPr>
          <w:p w14:paraId="03308BC4" w14:textId="77777777" w:rsidR="006B2276" w:rsidRPr="00032383" w:rsidRDefault="006B2276" w:rsidP="005236D1">
            <w:pPr>
              <w:spacing w:before="120" w:line="360" w:lineRule="auto"/>
              <w:rPr>
                <w:rFonts w:eastAsia="Times New Roman" w:cs="Times New Roman"/>
                <w:sz w:val="20"/>
                <w:szCs w:val="20"/>
              </w:rPr>
            </w:pPr>
            <w:r>
              <w:rPr>
                <w:rFonts w:eastAsia="Times New Roman" w:cs="Times New Roman"/>
                <w:sz w:val="20"/>
                <w:szCs w:val="20"/>
              </w:rPr>
              <w:t xml:space="preserve">Detailed agreement to allow </w:t>
            </w:r>
            <w:r w:rsidR="00AC6524">
              <w:rPr>
                <w:rFonts w:eastAsia="Times New Roman" w:cs="Times New Roman"/>
                <w:sz w:val="20"/>
                <w:szCs w:val="20"/>
              </w:rPr>
              <w:t xml:space="preserve">GP </w:t>
            </w:r>
            <w:r w:rsidR="005236D1">
              <w:rPr>
                <w:rFonts w:eastAsia="Times New Roman" w:cs="Times New Roman"/>
                <w:sz w:val="20"/>
                <w:szCs w:val="20"/>
              </w:rPr>
              <w:t xml:space="preserve">member </w:t>
            </w:r>
            <w:r w:rsidR="00AC6524">
              <w:rPr>
                <w:rFonts w:eastAsia="Times New Roman" w:cs="Times New Roman"/>
                <w:sz w:val="20"/>
                <w:szCs w:val="20"/>
              </w:rPr>
              <w:t>prac</w:t>
            </w:r>
            <w:r w:rsidR="005236D1">
              <w:rPr>
                <w:rFonts w:eastAsia="Times New Roman" w:cs="Times New Roman"/>
                <w:sz w:val="20"/>
                <w:szCs w:val="20"/>
              </w:rPr>
              <w:t>tices to share practice patient</w:t>
            </w:r>
            <w:r w:rsidR="00AC6524">
              <w:rPr>
                <w:rFonts w:eastAsia="Times New Roman" w:cs="Times New Roman"/>
                <w:sz w:val="20"/>
                <w:szCs w:val="20"/>
              </w:rPr>
              <w:t xml:space="preserve"> records </w:t>
            </w:r>
            <w:r w:rsidR="005236D1">
              <w:rPr>
                <w:rFonts w:eastAsia="Times New Roman" w:cs="Times New Roman"/>
                <w:sz w:val="20"/>
                <w:szCs w:val="20"/>
              </w:rPr>
              <w:t>for extended access scheme appointments</w:t>
            </w:r>
            <w:r w:rsidR="00AC6524" w:rsidRPr="005236D1">
              <w:rPr>
                <w:rFonts w:eastAsia="Times New Roman" w:cs="Times New Roman"/>
                <w:sz w:val="20"/>
                <w:szCs w:val="20"/>
              </w:rPr>
              <w:t xml:space="preserve"> </w:t>
            </w:r>
          </w:p>
        </w:tc>
      </w:tr>
      <w:tr w:rsidR="006B2276" w:rsidRPr="00032383" w14:paraId="5EA24574" w14:textId="77777777" w:rsidTr="004F6241">
        <w:tc>
          <w:tcPr>
            <w:tcW w:w="2410" w:type="dxa"/>
            <w:tcBorders>
              <w:top w:val="single" w:sz="4" w:space="0" w:color="auto"/>
              <w:left w:val="single" w:sz="4" w:space="0" w:color="auto"/>
              <w:bottom w:val="single" w:sz="4" w:space="0" w:color="auto"/>
              <w:right w:val="single" w:sz="4" w:space="0" w:color="auto"/>
            </w:tcBorders>
          </w:tcPr>
          <w:p w14:paraId="4395A05F" w14:textId="77777777" w:rsidR="006B2276" w:rsidRPr="00032383" w:rsidRDefault="006B2276" w:rsidP="004F6241">
            <w:pPr>
              <w:spacing w:before="120" w:line="360" w:lineRule="auto"/>
              <w:rPr>
                <w:rFonts w:eastAsia="Times New Roman" w:cs="Times New Roman"/>
                <w:sz w:val="20"/>
                <w:szCs w:val="20"/>
              </w:rPr>
            </w:pPr>
            <w:r w:rsidRPr="00032383">
              <w:rPr>
                <w:rFonts w:eastAsia="Times New Roman" w:cs="Times New Roman"/>
                <w:sz w:val="20"/>
                <w:szCs w:val="20"/>
              </w:rPr>
              <w:t>Superseded Document</w:t>
            </w:r>
          </w:p>
        </w:tc>
        <w:tc>
          <w:tcPr>
            <w:tcW w:w="6379" w:type="dxa"/>
            <w:tcBorders>
              <w:top w:val="single" w:sz="4" w:space="0" w:color="auto"/>
              <w:left w:val="single" w:sz="4" w:space="0" w:color="auto"/>
              <w:bottom w:val="single" w:sz="4" w:space="0" w:color="auto"/>
              <w:right w:val="single" w:sz="4" w:space="0" w:color="auto"/>
            </w:tcBorders>
          </w:tcPr>
          <w:p w14:paraId="5E3627D0" w14:textId="77777777" w:rsidR="006B2276" w:rsidRPr="00032383" w:rsidRDefault="006B2276" w:rsidP="004F6241">
            <w:pPr>
              <w:spacing w:before="120" w:line="360" w:lineRule="auto"/>
              <w:rPr>
                <w:rFonts w:eastAsia="Times New Roman" w:cs="Times New Roman"/>
                <w:sz w:val="20"/>
                <w:szCs w:val="20"/>
              </w:rPr>
            </w:pPr>
            <w:r>
              <w:rPr>
                <w:rFonts w:eastAsia="Times New Roman" w:cs="Times New Roman"/>
                <w:sz w:val="20"/>
                <w:szCs w:val="20"/>
              </w:rPr>
              <w:t>N/A</w:t>
            </w:r>
          </w:p>
        </w:tc>
      </w:tr>
      <w:tr w:rsidR="006B2276" w:rsidRPr="00032383" w14:paraId="3CD1AE97" w14:textId="77777777" w:rsidTr="004F6241">
        <w:tc>
          <w:tcPr>
            <w:tcW w:w="2410" w:type="dxa"/>
            <w:tcBorders>
              <w:top w:val="single" w:sz="4" w:space="0" w:color="auto"/>
              <w:left w:val="single" w:sz="4" w:space="0" w:color="auto"/>
              <w:bottom w:val="single" w:sz="4" w:space="0" w:color="auto"/>
              <w:right w:val="single" w:sz="4" w:space="0" w:color="auto"/>
            </w:tcBorders>
          </w:tcPr>
          <w:p w14:paraId="124F6CC1" w14:textId="77777777" w:rsidR="006B2276" w:rsidRPr="00032383" w:rsidRDefault="006B2276" w:rsidP="004F6241">
            <w:pPr>
              <w:spacing w:before="120" w:line="360" w:lineRule="auto"/>
              <w:rPr>
                <w:rFonts w:eastAsia="Times New Roman" w:cs="Times New Roman"/>
                <w:sz w:val="20"/>
                <w:szCs w:val="20"/>
                <w:lang w:val="x-none"/>
              </w:rPr>
            </w:pPr>
            <w:r w:rsidRPr="00032383">
              <w:rPr>
                <w:rFonts w:eastAsia="Times New Roman" w:cs="Times New Roman"/>
                <w:sz w:val="20"/>
                <w:szCs w:val="20"/>
                <w:lang w:val="x-none"/>
              </w:rPr>
              <w:t>Action Required</w:t>
            </w:r>
          </w:p>
        </w:tc>
        <w:tc>
          <w:tcPr>
            <w:tcW w:w="6379" w:type="dxa"/>
            <w:tcBorders>
              <w:top w:val="single" w:sz="4" w:space="0" w:color="auto"/>
              <w:left w:val="single" w:sz="4" w:space="0" w:color="auto"/>
              <w:bottom w:val="single" w:sz="4" w:space="0" w:color="auto"/>
              <w:right w:val="single" w:sz="4" w:space="0" w:color="auto"/>
            </w:tcBorders>
          </w:tcPr>
          <w:p w14:paraId="0C0BD406" w14:textId="77777777" w:rsidR="006B2276" w:rsidRPr="00032383" w:rsidRDefault="006B2276" w:rsidP="004F6241">
            <w:pPr>
              <w:spacing w:before="120" w:line="360" w:lineRule="auto"/>
              <w:rPr>
                <w:rFonts w:eastAsia="Times New Roman" w:cs="Times New Roman"/>
                <w:sz w:val="20"/>
                <w:szCs w:val="20"/>
              </w:rPr>
            </w:pPr>
            <w:r>
              <w:rPr>
                <w:rFonts w:eastAsia="Times New Roman" w:cs="Times New Roman"/>
                <w:sz w:val="20"/>
                <w:szCs w:val="20"/>
              </w:rPr>
              <w:t>Provider Signature</w:t>
            </w:r>
          </w:p>
        </w:tc>
      </w:tr>
      <w:tr w:rsidR="006B2276" w:rsidRPr="00032383" w14:paraId="04475DB6" w14:textId="77777777" w:rsidTr="004F6241">
        <w:tc>
          <w:tcPr>
            <w:tcW w:w="2410" w:type="dxa"/>
            <w:tcBorders>
              <w:top w:val="single" w:sz="4" w:space="0" w:color="auto"/>
              <w:left w:val="single" w:sz="4" w:space="0" w:color="auto"/>
              <w:bottom w:val="single" w:sz="4" w:space="0" w:color="auto"/>
              <w:right w:val="single" w:sz="4" w:space="0" w:color="auto"/>
            </w:tcBorders>
          </w:tcPr>
          <w:p w14:paraId="5323AA79" w14:textId="77777777" w:rsidR="006B2276" w:rsidRPr="00032383" w:rsidRDefault="006B2276" w:rsidP="004F6241">
            <w:pPr>
              <w:spacing w:before="120" w:line="360" w:lineRule="auto"/>
              <w:rPr>
                <w:rFonts w:eastAsia="Times New Roman" w:cs="Times New Roman"/>
                <w:sz w:val="20"/>
                <w:szCs w:val="20"/>
              </w:rPr>
            </w:pPr>
            <w:r w:rsidRPr="00032383">
              <w:rPr>
                <w:rFonts w:eastAsia="Times New Roman" w:cs="Times New Roman"/>
                <w:sz w:val="20"/>
                <w:szCs w:val="20"/>
              </w:rPr>
              <w:t>Approved by</w:t>
            </w:r>
          </w:p>
        </w:tc>
        <w:tc>
          <w:tcPr>
            <w:tcW w:w="6379" w:type="dxa"/>
            <w:tcBorders>
              <w:top w:val="single" w:sz="4" w:space="0" w:color="auto"/>
              <w:left w:val="single" w:sz="4" w:space="0" w:color="auto"/>
              <w:bottom w:val="single" w:sz="4" w:space="0" w:color="auto"/>
              <w:right w:val="single" w:sz="4" w:space="0" w:color="auto"/>
            </w:tcBorders>
          </w:tcPr>
          <w:p w14:paraId="1A4FD913" w14:textId="77777777" w:rsidR="006B2276" w:rsidRPr="00032383" w:rsidRDefault="0081261F" w:rsidP="004F6241">
            <w:pPr>
              <w:spacing w:before="120" w:line="360" w:lineRule="auto"/>
              <w:rPr>
                <w:rFonts w:eastAsia="Times New Roman" w:cs="Times New Roman"/>
                <w:sz w:val="20"/>
                <w:szCs w:val="20"/>
              </w:rPr>
            </w:pPr>
            <w:r>
              <w:rPr>
                <w:rFonts w:eastAsia="Times New Roman" w:cs="Times New Roman"/>
                <w:sz w:val="20"/>
                <w:szCs w:val="20"/>
              </w:rPr>
              <w:t>GP Partner or Practice Manager from member practices</w:t>
            </w:r>
          </w:p>
        </w:tc>
      </w:tr>
      <w:tr w:rsidR="006B2276" w:rsidRPr="00032383" w14:paraId="344F8964" w14:textId="77777777" w:rsidTr="004F6241">
        <w:tc>
          <w:tcPr>
            <w:tcW w:w="2410" w:type="dxa"/>
            <w:tcBorders>
              <w:top w:val="single" w:sz="4" w:space="0" w:color="auto"/>
              <w:left w:val="single" w:sz="4" w:space="0" w:color="auto"/>
              <w:bottom w:val="single" w:sz="4" w:space="0" w:color="auto"/>
              <w:right w:val="single" w:sz="4" w:space="0" w:color="auto"/>
            </w:tcBorders>
          </w:tcPr>
          <w:p w14:paraId="40E2BE3F" w14:textId="77777777" w:rsidR="006B2276" w:rsidRPr="00032383" w:rsidRDefault="006B2276" w:rsidP="004F6241">
            <w:pPr>
              <w:spacing w:before="120" w:line="360" w:lineRule="auto"/>
              <w:rPr>
                <w:rFonts w:eastAsia="Times New Roman" w:cs="Times New Roman"/>
                <w:sz w:val="20"/>
                <w:szCs w:val="20"/>
              </w:rPr>
            </w:pPr>
            <w:r w:rsidRPr="00032383">
              <w:rPr>
                <w:rFonts w:eastAsia="Times New Roman" w:cs="Times New Roman"/>
                <w:sz w:val="20"/>
                <w:szCs w:val="20"/>
              </w:rPr>
              <w:t>Contact Details</w:t>
            </w:r>
          </w:p>
          <w:p w14:paraId="55A95A64" w14:textId="77777777" w:rsidR="006B2276" w:rsidRPr="00032383" w:rsidRDefault="006B2276" w:rsidP="004F6241">
            <w:pPr>
              <w:spacing w:line="360" w:lineRule="auto"/>
              <w:rPr>
                <w:rFonts w:eastAsia="Times New Roman" w:cs="Times New Roman"/>
                <w:sz w:val="20"/>
                <w:szCs w:val="20"/>
                <w:lang w:val="x-none"/>
              </w:rPr>
            </w:pPr>
            <w:r w:rsidRPr="00032383">
              <w:rPr>
                <w:rFonts w:eastAsia="Times New Roman" w:cs="Times New Roman"/>
                <w:sz w:val="20"/>
                <w:szCs w:val="20"/>
              </w:rPr>
              <w:t>(for further information)</w:t>
            </w:r>
          </w:p>
        </w:tc>
        <w:tc>
          <w:tcPr>
            <w:tcW w:w="6379" w:type="dxa"/>
            <w:tcBorders>
              <w:top w:val="single" w:sz="4" w:space="0" w:color="auto"/>
              <w:left w:val="single" w:sz="4" w:space="0" w:color="auto"/>
              <w:bottom w:val="single" w:sz="4" w:space="0" w:color="auto"/>
              <w:right w:val="single" w:sz="4" w:space="0" w:color="auto"/>
            </w:tcBorders>
          </w:tcPr>
          <w:p w14:paraId="5CFD908F" w14:textId="77777777" w:rsidR="00A5551B" w:rsidRDefault="00A5551B" w:rsidP="00A5551B">
            <w:pPr>
              <w:spacing w:line="240" w:lineRule="auto"/>
              <w:rPr>
                <w:rFonts w:eastAsia="Times New Roman" w:cs="Times New Roman"/>
                <w:sz w:val="20"/>
                <w:szCs w:val="20"/>
              </w:rPr>
            </w:pPr>
          </w:p>
          <w:p w14:paraId="069F9CD0" w14:textId="77777777" w:rsidR="005236D1" w:rsidRPr="00032383" w:rsidRDefault="00581526" w:rsidP="00A5551B">
            <w:pPr>
              <w:spacing w:line="240" w:lineRule="auto"/>
              <w:rPr>
                <w:rFonts w:eastAsia="Times New Roman" w:cs="Times New Roman"/>
                <w:sz w:val="20"/>
                <w:szCs w:val="20"/>
              </w:rPr>
            </w:pPr>
            <w:r>
              <w:rPr>
                <w:rFonts w:eastAsia="Times New Roman" w:cs="Times New Roman"/>
                <w:sz w:val="20"/>
                <w:szCs w:val="20"/>
              </w:rPr>
              <w:t>Rachel Shields Assistant Practice Manager Portcullis Surgery and Secretary to SSMG</w:t>
            </w:r>
          </w:p>
        </w:tc>
      </w:tr>
      <w:tr w:rsidR="006B2276" w:rsidRPr="00032383" w14:paraId="16580022" w14:textId="77777777" w:rsidTr="004F6241">
        <w:tc>
          <w:tcPr>
            <w:tcW w:w="8789" w:type="dxa"/>
            <w:gridSpan w:val="2"/>
            <w:tcBorders>
              <w:top w:val="single" w:sz="4" w:space="0" w:color="auto"/>
              <w:left w:val="single" w:sz="4" w:space="0" w:color="auto"/>
              <w:bottom w:val="single" w:sz="4" w:space="0" w:color="auto"/>
              <w:right w:val="single" w:sz="4" w:space="0" w:color="auto"/>
            </w:tcBorders>
            <w:shd w:val="clear" w:color="auto" w:fill="D9D9D9"/>
          </w:tcPr>
          <w:p w14:paraId="6A569326" w14:textId="77777777" w:rsidR="006B2276" w:rsidRPr="00032383" w:rsidRDefault="006B2276" w:rsidP="004F6241">
            <w:pPr>
              <w:spacing w:before="120" w:line="360" w:lineRule="auto"/>
              <w:jc w:val="both"/>
              <w:rPr>
                <w:rFonts w:eastAsia="Times New Roman" w:cs="Times New Roman"/>
                <w:b/>
                <w:sz w:val="28"/>
                <w:szCs w:val="28"/>
                <w:lang w:eastAsia="en-GB"/>
              </w:rPr>
            </w:pPr>
            <w:r w:rsidRPr="00032383">
              <w:rPr>
                <w:rFonts w:eastAsia="Times New Roman" w:cs="Times New Roman"/>
                <w:b/>
                <w:sz w:val="28"/>
                <w:szCs w:val="28"/>
                <w:lang w:eastAsia="en-GB"/>
              </w:rPr>
              <w:t>Document Status</w:t>
            </w:r>
          </w:p>
        </w:tc>
      </w:tr>
      <w:tr w:rsidR="006B2276" w:rsidRPr="00032383" w14:paraId="071D4553" w14:textId="77777777" w:rsidTr="004F6241">
        <w:tc>
          <w:tcPr>
            <w:tcW w:w="8789" w:type="dxa"/>
            <w:gridSpan w:val="2"/>
            <w:tcBorders>
              <w:top w:val="single" w:sz="4" w:space="0" w:color="auto"/>
              <w:left w:val="single" w:sz="4" w:space="0" w:color="auto"/>
              <w:bottom w:val="single" w:sz="4" w:space="0" w:color="auto"/>
              <w:right w:val="single" w:sz="4" w:space="0" w:color="auto"/>
            </w:tcBorders>
          </w:tcPr>
          <w:p w14:paraId="4909DE56" w14:textId="77777777" w:rsidR="006B2276" w:rsidRPr="00032383" w:rsidRDefault="006B2276" w:rsidP="004F6241">
            <w:pPr>
              <w:spacing w:before="120" w:line="360" w:lineRule="auto"/>
              <w:rPr>
                <w:rFonts w:eastAsia="Times New Roman" w:cs="Times New Roman"/>
                <w:sz w:val="20"/>
                <w:szCs w:val="20"/>
                <w:lang w:val="x-none"/>
              </w:rPr>
            </w:pPr>
            <w:r w:rsidRPr="00032383">
              <w:rPr>
                <w:rFonts w:eastAsia="Times New Roman" w:cs="Times New Roman"/>
                <w:sz w:val="20"/>
                <w:szCs w:val="20"/>
                <w:lang w:val="x-none"/>
              </w:rPr>
              <w:t xml:space="preserve">This is a controlled document. Whilst this document may be printed, the electronic version posted on the </w:t>
            </w:r>
            <w:proofErr w:type="spellStart"/>
            <w:r w:rsidR="005236D1">
              <w:rPr>
                <w:rFonts w:eastAsia="Times New Roman" w:cs="Times New Roman"/>
                <w:sz w:val="20"/>
                <w:szCs w:val="20"/>
              </w:rPr>
              <w:t>GPTeamNet</w:t>
            </w:r>
            <w:proofErr w:type="spellEnd"/>
            <w:r w:rsidRPr="00032383">
              <w:rPr>
                <w:rFonts w:eastAsia="Times New Roman" w:cs="Times New Roman"/>
                <w:sz w:val="20"/>
                <w:szCs w:val="20"/>
                <w:lang w:val="x-none"/>
              </w:rPr>
              <w:t xml:space="preserve"> is the controlled copy. Any printed copies of this document are not controlled.</w:t>
            </w:r>
          </w:p>
          <w:p w14:paraId="1AA355BF" w14:textId="77777777" w:rsidR="006B2276" w:rsidRPr="005236D1" w:rsidRDefault="006B2276" w:rsidP="00581526">
            <w:pPr>
              <w:spacing w:before="120" w:line="360" w:lineRule="auto"/>
              <w:rPr>
                <w:rFonts w:eastAsia="Times New Roman" w:cs="Times New Roman"/>
                <w:sz w:val="20"/>
                <w:szCs w:val="20"/>
              </w:rPr>
            </w:pPr>
            <w:r w:rsidRPr="00032383">
              <w:rPr>
                <w:rFonts w:eastAsia="Times New Roman" w:cs="Times New Roman"/>
                <w:sz w:val="20"/>
                <w:szCs w:val="20"/>
                <w:lang w:val="x-none"/>
              </w:rPr>
              <w:t>As a controlled document, this document should not be saved onto local or network drives</w:t>
            </w:r>
            <w:r w:rsidR="00581526">
              <w:rPr>
                <w:rFonts w:eastAsia="Times New Roman" w:cs="Times New Roman"/>
                <w:sz w:val="20"/>
                <w:szCs w:val="20"/>
                <w:lang w:val="x-none"/>
              </w:rPr>
              <w:t>.</w:t>
            </w:r>
          </w:p>
        </w:tc>
      </w:tr>
    </w:tbl>
    <w:p w14:paraId="08F938D4" w14:textId="77777777" w:rsidR="00ED1DBD" w:rsidRPr="00ED1DBD" w:rsidRDefault="005219DB" w:rsidP="005219DB">
      <w:pPr>
        <w:jc w:val="center"/>
        <w:rPr>
          <w:b/>
          <w:sz w:val="32"/>
          <w:szCs w:val="32"/>
        </w:rPr>
      </w:pPr>
      <w:r>
        <w:rPr>
          <w:b/>
          <w:sz w:val="32"/>
          <w:szCs w:val="32"/>
        </w:rPr>
        <w:br w:type="page"/>
      </w:r>
      <w:r w:rsidR="00F65430" w:rsidRPr="00ED1DBD">
        <w:rPr>
          <w:b/>
          <w:sz w:val="32"/>
          <w:szCs w:val="32"/>
        </w:rPr>
        <w:lastRenderedPageBreak/>
        <w:t xml:space="preserve">Information </w:t>
      </w:r>
      <w:r w:rsidR="00373DFF" w:rsidRPr="00ED1DBD">
        <w:rPr>
          <w:b/>
          <w:sz w:val="32"/>
          <w:szCs w:val="32"/>
        </w:rPr>
        <w:t xml:space="preserve">Data </w:t>
      </w:r>
      <w:r w:rsidR="00ED1DBD" w:rsidRPr="00ED1DBD">
        <w:rPr>
          <w:b/>
          <w:sz w:val="32"/>
          <w:szCs w:val="32"/>
        </w:rPr>
        <w:t>S</w:t>
      </w:r>
      <w:r w:rsidR="009D7BC5" w:rsidRPr="00ED1DBD">
        <w:rPr>
          <w:b/>
          <w:sz w:val="32"/>
          <w:szCs w:val="32"/>
        </w:rPr>
        <w:t>haring</w:t>
      </w:r>
      <w:r w:rsidR="00373DFF" w:rsidRPr="00ED1DBD">
        <w:rPr>
          <w:b/>
          <w:sz w:val="32"/>
          <w:szCs w:val="32"/>
        </w:rPr>
        <w:t xml:space="preserve"> </w:t>
      </w:r>
      <w:r w:rsidR="00ED1DBD" w:rsidRPr="00ED1DBD">
        <w:rPr>
          <w:b/>
          <w:sz w:val="32"/>
          <w:szCs w:val="32"/>
        </w:rPr>
        <w:t>A</w:t>
      </w:r>
      <w:r w:rsidR="00F65430" w:rsidRPr="00ED1DBD">
        <w:rPr>
          <w:b/>
          <w:sz w:val="32"/>
          <w:szCs w:val="32"/>
        </w:rPr>
        <w:t>greement</w:t>
      </w:r>
    </w:p>
    <w:p w14:paraId="5C05CEEB" w14:textId="77777777" w:rsidR="000111B4" w:rsidRDefault="00E97D57" w:rsidP="000D1AC8">
      <w:r>
        <w:t xml:space="preserve">The </w:t>
      </w:r>
      <w:r w:rsidR="00581526">
        <w:rPr>
          <w:rFonts w:eastAsia="Times New Roman" w:cs="Times New Roman"/>
          <w:sz w:val="20"/>
          <w:szCs w:val="20"/>
        </w:rPr>
        <w:t>South Shropshire Medical Group Extended Access Scheme Member practices</w:t>
      </w:r>
      <w:r w:rsidR="00581526">
        <w:t xml:space="preserve"> </w:t>
      </w:r>
      <w:r w:rsidR="00272F55">
        <w:t xml:space="preserve">are the partners to this agreement and will have </w:t>
      </w:r>
    </w:p>
    <w:p w14:paraId="65DFE629" w14:textId="77777777" w:rsidR="00361EB5" w:rsidRPr="004B0E8B" w:rsidRDefault="00361EB5" w:rsidP="004B0E8B">
      <w:pPr>
        <w:pStyle w:val="ListParagraph"/>
        <w:numPr>
          <w:ilvl w:val="0"/>
          <w:numId w:val="17"/>
        </w:numPr>
        <w:spacing w:line="240" w:lineRule="auto"/>
        <w:rPr>
          <w:b/>
        </w:rPr>
      </w:pPr>
      <w:r w:rsidRPr="004B0E8B">
        <w:rPr>
          <w:b/>
        </w:rPr>
        <w:t>Parties to the Agreement</w:t>
      </w:r>
    </w:p>
    <w:p w14:paraId="598D9619" w14:textId="77777777" w:rsidR="00361EB5" w:rsidRPr="00361EB5" w:rsidRDefault="00361EB5" w:rsidP="00361EB5">
      <w:pPr>
        <w:spacing w:after="0" w:line="240" w:lineRule="auto"/>
        <w:rPr>
          <w:rFonts w:ascii="Arial" w:eastAsia="Times New Roman" w:hAnsi="Arial" w:cs="Arial"/>
          <w:sz w:val="24"/>
          <w:szCs w:val="24"/>
        </w:rPr>
      </w:pPr>
    </w:p>
    <w:p w14:paraId="27C429CE" w14:textId="77777777" w:rsidR="00361EB5" w:rsidRPr="0024322A" w:rsidRDefault="00361EB5" w:rsidP="00361EB5">
      <w:pPr>
        <w:spacing w:after="0" w:line="240" w:lineRule="auto"/>
        <w:rPr>
          <w:rFonts w:eastAsia="Times New Roman" w:cs="Arial"/>
        </w:rPr>
      </w:pPr>
      <w:r w:rsidRPr="0024322A">
        <w:rPr>
          <w:rFonts w:eastAsia="Times New Roman" w:cs="Arial"/>
        </w:rPr>
        <w:t>Th</w:t>
      </w:r>
      <w:r w:rsidR="0077739B">
        <w:rPr>
          <w:rFonts w:eastAsia="Times New Roman" w:cs="Arial"/>
        </w:rPr>
        <w:t>e</w:t>
      </w:r>
      <w:r w:rsidRPr="0024322A">
        <w:rPr>
          <w:rFonts w:eastAsia="Times New Roman" w:cs="Arial"/>
        </w:rPr>
        <w:t xml:space="preserve"> Information Sharing Agreement is between</w:t>
      </w:r>
      <w:r w:rsidR="0024322A" w:rsidRPr="0024322A">
        <w:rPr>
          <w:rFonts w:eastAsia="Times New Roman" w:cs="Arial"/>
        </w:rPr>
        <w:t xml:space="preserve"> all GP</w:t>
      </w:r>
      <w:r w:rsidR="0081261F">
        <w:rPr>
          <w:rFonts w:eastAsia="Times New Roman" w:cs="Arial"/>
        </w:rPr>
        <w:t xml:space="preserve"> </w:t>
      </w:r>
      <w:r w:rsidR="005236D1">
        <w:rPr>
          <w:rFonts w:eastAsia="Times New Roman" w:cs="Arial"/>
        </w:rPr>
        <w:t xml:space="preserve">member practices of </w:t>
      </w:r>
      <w:r w:rsidR="00581526">
        <w:rPr>
          <w:rFonts w:eastAsia="Times New Roman" w:cs="Times New Roman"/>
          <w:sz w:val="20"/>
          <w:szCs w:val="20"/>
        </w:rPr>
        <w:t>South Shropshire Medical Group Extended Access Scheme Member practices</w:t>
      </w:r>
      <w:r w:rsidR="0077739B">
        <w:rPr>
          <w:rFonts w:eastAsia="Times New Roman" w:cs="Arial"/>
        </w:rPr>
        <w:t xml:space="preserve">. These </w:t>
      </w:r>
      <w:r w:rsidR="003522FD">
        <w:rPr>
          <w:rFonts w:eastAsia="Times New Roman" w:cs="Arial"/>
        </w:rPr>
        <w:t xml:space="preserve">are </w:t>
      </w:r>
      <w:r w:rsidR="003522FD" w:rsidRPr="0024322A">
        <w:rPr>
          <w:rFonts w:eastAsia="Times New Roman" w:cs="Arial"/>
        </w:rPr>
        <w:t>listed</w:t>
      </w:r>
      <w:r w:rsidR="0024322A" w:rsidRPr="0024322A">
        <w:rPr>
          <w:rFonts w:eastAsia="Times New Roman" w:cs="Arial"/>
        </w:rPr>
        <w:t xml:space="preserve"> in Appendix A</w:t>
      </w:r>
      <w:r w:rsidR="0077739B">
        <w:rPr>
          <w:rFonts w:eastAsia="Times New Roman" w:cs="Arial"/>
        </w:rPr>
        <w:t xml:space="preserve"> of this agreement</w:t>
      </w:r>
      <w:r w:rsidR="0024322A">
        <w:rPr>
          <w:rFonts w:eastAsia="Times New Roman" w:cs="Arial"/>
        </w:rPr>
        <w:t xml:space="preserve"> </w:t>
      </w:r>
    </w:p>
    <w:p w14:paraId="2B848CD1" w14:textId="77777777" w:rsidR="00361EB5" w:rsidRPr="00361EB5" w:rsidRDefault="00361EB5" w:rsidP="00361EB5">
      <w:pPr>
        <w:spacing w:after="0" w:line="240" w:lineRule="auto"/>
        <w:rPr>
          <w:rFonts w:ascii="Arial" w:eastAsia="Times New Roman" w:hAnsi="Arial" w:cs="Arial"/>
          <w:i/>
          <w:sz w:val="24"/>
          <w:szCs w:val="24"/>
        </w:rPr>
      </w:pPr>
    </w:p>
    <w:p w14:paraId="171B049F" w14:textId="77777777" w:rsidR="00361EB5" w:rsidRDefault="00361EB5" w:rsidP="0024322A">
      <w:pPr>
        <w:spacing w:after="0" w:line="240" w:lineRule="auto"/>
      </w:pPr>
    </w:p>
    <w:p w14:paraId="028D0150" w14:textId="77777777" w:rsidR="00BB0154" w:rsidRPr="008E69AA" w:rsidRDefault="00BB0154" w:rsidP="008E69AA">
      <w:pPr>
        <w:pStyle w:val="ListParagraph"/>
        <w:numPr>
          <w:ilvl w:val="0"/>
          <w:numId w:val="17"/>
        </w:numPr>
        <w:rPr>
          <w:b/>
        </w:rPr>
      </w:pPr>
      <w:r w:rsidRPr="008E69AA">
        <w:rPr>
          <w:b/>
        </w:rPr>
        <w:t xml:space="preserve">Period of the Agreement </w:t>
      </w:r>
    </w:p>
    <w:tbl>
      <w:tblPr>
        <w:tblStyle w:val="TableGrid"/>
        <w:tblW w:w="0" w:type="auto"/>
        <w:tblLook w:val="04A0" w:firstRow="1" w:lastRow="0" w:firstColumn="1" w:lastColumn="0" w:noHBand="0" w:noVBand="1"/>
      </w:tblPr>
      <w:tblGrid>
        <w:gridCol w:w="2310"/>
        <w:gridCol w:w="2310"/>
        <w:gridCol w:w="2311"/>
        <w:gridCol w:w="2311"/>
      </w:tblGrid>
      <w:tr w:rsidR="00BB0154" w14:paraId="17ECCA19" w14:textId="77777777" w:rsidTr="004F6241">
        <w:tc>
          <w:tcPr>
            <w:tcW w:w="2310" w:type="dxa"/>
          </w:tcPr>
          <w:p w14:paraId="7677FA5B" w14:textId="77777777" w:rsidR="00BB0154" w:rsidRDefault="00BB0154" w:rsidP="004F6241">
            <w:r>
              <w:t>Start date:</w:t>
            </w:r>
          </w:p>
        </w:tc>
        <w:tc>
          <w:tcPr>
            <w:tcW w:w="2310" w:type="dxa"/>
          </w:tcPr>
          <w:p w14:paraId="73CC59E9" w14:textId="77777777" w:rsidR="00BB0154" w:rsidRDefault="00581526" w:rsidP="007166D8">
            <w:r>
              <w:t>1</w:t>
            </w:r>
            <w:r w:rsidRPr="00581526">
              <w:rPr>
                <w:vertAlign w:val="superscript"/>
              </w:rPr>
              <w:t>st</w:t>
            </w:r>
            <w:r>
              <w:t xml:space="preserve"> October</w:t>
            </w:r>
            <w:r w:rsidR="005236D1">
              <w:t xml:space="preserve"> 2018</w:t>
            </w:r>
          </w:p>
        </w:tc>
        <w:tc>
          <w:tcPr>
            <w:tcW w:w="2311" w:type="dxa"/>
          </w:tcPr>
          <w:p w14:paraId="01A2434C" w14:textId="77777777" w:rsidR="00BB0154" w:rsidRPr="00953EAD" w:rsidRDefault="00BB0154" w:rsidP="004F6241">
            <w:r w:rsidRPr="00953EAD">
              <w:t>End Date:</w:t>
            </w:r>
            <w:r w:rsidR="00057EF7">
              <w:t xml:space="preserve"> </w:t>
            </w:r>
          </w:p>
        </w:tc>
        <w:tc>
          <w:tcPr>
            <w:tcW w:w="2311" w:type="dxa"/>
          </w:tcPr>
          <w:p w14:paraId="48FC73A1" w14:textId="77777777" w:rsidR="00BB0154" w:rsidRPr="00953EAD" w:rsidRDefault="00581526" w:rsidP="004F6241">
            <w:r>
              <w:t>31</w:t>
            </w:r>
            <w:r w:rsidRPr="00581526">
              <w:rPr>
                <w:vertAlign w:val="superscript"/>
              </w:rPr>
              <w:t>st</w:t>
            </w:r>
            <w:r>
              <w:t xml:space="preserve"> March 2020</w:t>
            </w:r>
          </w:p>
        </w:tc>
      </w:tr>
    </w:tbl>
    <w:p w14:paraId="7211E185" w14:textId="77777777" w:rsidR="00BB0154" w:rsidRDefault="00BB0154" w:rsidP="008E69AA">
      <w:pPr>
        <w:pStyle w:val="ListParagraph"/>
        <w:spacing w:line="240" w:lineRule="auto"/>
        <w:ind w:left="360"/>
      </w:pPr>
    </w:p>
    <w:p w14:paraId="33058D40" w14:textId="77777777" w:rsidR="000D1AC8" w:rsidRPr="009F7444" w:rsidRDefault="00C14A94" w:rsidP="008E69AA">
      <w:pPr>
        <w:pStyle w:val="ListParagraph"/>
        <w:numPr>
          <w:ilvl w:val="0"/>
          <w:numId w:val="17"/>
        </w:numPr>
        <w:ind w:left="0" w:firstLine="0"/>
        <w:contextualSpacing/>
        <w:rPr>
          <w:b/>
        </w:rPr>
      </w:pPr>
      <w:r>
        <w:rPr>
          <w:b/>
        </w:rPr>
        <w:t>The</w:t>
      </w:r>
      <w:r w:rsidR="000D1AC8" w:rsidRPr="009F7444">
        <w:rPr>
          <w:b/>
        </w:rPr>
        <w:t xml:space="preserve"> Purpose of this </w:t>
      </w:r>
      <w:r w:rsidR="000111B4">
        <w:rPr>
          <w:b/>
        </w:rPr>
        <w:t xml:space="preserve">Information </w:t>
      </w:r>
      <w:r w:rsidR="00AA7DFA">
        <w:rPr>
          <w:b/>
        </w:rPr>
        <w:t>Sharing</w:t>
      </w:r>
      <w:r w:rsidR="00AA7DFA" w:rsidRPr="009F7444">
        <w:rPr>
          <w:b/>
        </w:rPr>
        <w:t xml:space="preserve"> </w:t>
      </w:r>
      <w:r w:rsidR="000D1AC8" w:rsidRPr="009F7444">
        <w:rPr>
          <w:b/>
        </w:rPr>
        <w:t>Agreement</w:t>
      </w:r>
      <w:r w:rsidR="00081AB0">
        <w:rPr>
          <w:b/>
        </w:rPr>
        <w:t xml:space="preserve"> – Direct Patient Care</w:t>
      </w:r>
    </w:p>
    <w:p w14:paraId="7708934F" w14:textId="77777777" w:rsidR="00B80FC3" w:rsidRDefault="00B80FC3" w:rsidP="000D1AC8">
      <w:r>
        <w:t xml:space="preserve">This agreement is to enable </w:t>
      </w:r>
      <w:r w:rsidR="00AA7DFA">
        <w:t>the team</w:t>
      </w:r>
      <w:r w:rsidR="00075AB5">
        <w:t xml:space="preserve"> </w:t>
      </w:r>
      <w:r w:rsidR="005236D1">
        <w:t xml:space="preserve">delivering the Extended Access Scheme </w:t>
      </w:r>
      <w:r w:rsidR="00AA7DFA">
        <w:t xml:space="preserve">to have access to the general practice record of patients registered with </w:t>
      </w:r>
      <w:r w:rsidR="00075AB5">
        <w:t>the named practices within this agreement</w:t>
      </w:r>
      <w:r w:rsidR="0024322A">
        <w:t xml:space="preserve"> located at Appendix A of this document</w:t>
      </w:r>
      <w:r w:rsidR="00AA7DFA">
        <w:t xml:space="preserve">.  </w:t>
      </w:r>
      <w:r>
        <w:t xml:space="preserve">  This will enable patients to receive;</w:t>
      </w:r>
    </w:p>
    <w:p w14:paraId="1F082D58" w14:textId="77777777" w:rsidR="00075AB5" w:rsidRDefault="005236D1" w:rsidP="00B80FC3">
      <w:pPr>
        <w:pStyle w:val="ListParagraph"/>
        <w:numPr>
          <w:ilvl w:val="0"/>
          <w:numId w:val="15"/>
        </w:numPr>
      </w:pPr>
      <w:r>
        <w:t>Routine, pre-booked appointments</w:t>
      </w:r>
    </w:p>
    <w:p w14:paraId="17C05553" w14:textId="77777777" w:rsidR="00B80FC3" w:rsidRDefault="00B80FC3" w:rsidP="00A55F3B">
      <w:pPr>
        <w:pStyle w:val="ListParagraph"/>
        <w:numPr>
          <w:ilvl w:val="0"/>
          <w:numId w:val="15"/>
        </w:numPr>
      </w:pPr>
      <w:r>
        <w:t>more informed care,</w:t>
      </w:r>
      <w:r w:rsidR="00A55F3B">
        <w:t xml:space="preserve"> </w:t>
      </w:r>
      <w:r>
        <w:t xml:space="preserve">resulting in higher quality of care, </w:t>
      </w:r>
    </w:p>
    <w:p w14:paraId="48960826" w14:textId="77777777" w:rsidR="00B80FC3" w:rsidRDefault="00B80FC3" w:rsidP="00B80FC3">
      <w:pPr>
        <w:pStyle w:val="ListParagraph"/>
        <w:numPr>
          <w:ilvl w:val="0"/>
          <w:numId w:val="15"/>
        </w:numPr>
      </w:pPr>
      <w:r>
        <w:t xml:space="preserve">improved safety </w:t>
      </w:r>
    </w:p>
    <w:p w14:paraId="3EC38015" w14:textId="77777777" w:rsidR="00BF08CB" w:rsidRDefault="000274F4" w:rsidP="00BF08CB">
      <w:pPr>
        <w:pStyle w:val="ListParagraph"/>
        <w:numPr>
          <w:ilvl w:val="0"/>
          <w:numId w:val="15"/>
        </w:numPr>
        <w:spacing w:line="240" w:lineRule="auto"/>
      </w:pPr>
      <w:r>
        <w:t>Better</w:t>
      </w:r>
      <w:r w:rsidR="00B80FC3">
        <w:t xml:space="preserve"> outcomes for patients including experience.  </w:t>
      </w:r>
    </w:p>
    <w:p w14:paraId="6D157D25" w14:textId="77777777" w:rsidR="009B3EEC" w:rsidRDefault="009B3EEC" w:rsidP="00BF08CB">
      <w:pPr>
        <w:pStyle w:val="ListParagraph"/>
        <w:numPr>
          <w:ilvl w:val="0"/>
          <w:numId w:val="15"/>
        </w:numPr>
        <w:spacing w:line="240" w:lineRule="auto"/>
      </w:pPr>
      <w:r>
        <w:t xml:space="preserve">Enhanced services at </w:t>
      </w:r>
      <w:r w:rsidR="005236D1">
        <w:t>a convenient time</w:t>
      </w:r>
    </w:p>
    <w:p w14:paraId="6C6ED446" w14:textId="77777777" w:rsidR="00272F55" w:rsidRDefault="00272F55" w:rsidP="00272F55">
      <w:pPr>
        <w:spacing w:after="0" w:line="240" w:lineRule="auto"/>
      </w:pPr>
    </w:p>
    <w:p w14:paraId="72D2678E" w14:textId="77777777" w:rsidR="00DF7A9A" w:rsidRDefault="00187A2C" w:rsidP="00272F55">
      <w:pPr>
        <w:spacing w:line="240" w:lineRule="auto"/>
        <w:rPr>
          <w:rFonts w:eastAsia="Times New Roman" w:cs="Arial"/>
          <w:lang w:eastAsia="en-GB"/>
        </w:rPr>
      </w:pPr>
      <w:r w:rsidRPr="00DF7A9A">
        <w:rPr>
          <w:rFonts w:eastAsia="Times New Roman" w:cs="Arial"/>
          <w:lang w:eastAsia="en-GB"/>
        </w:rPr>
        <w:t>C</w:t>
      </w:r>
      <w:r w:rsidR="00272F55" w:rsidRPr="00DF7A9A">
        <w:rPr>
          <w:rFonts w:eastAsia="Times New Roman" w:cs="Arial"/>
          <w:lang w:eastAsia="en-GB"/>
        </w:rPr>
        <w:t xml:space="preserve">linicians working within the hub will access </w:t>
      </w:r>
      <w:r w:rsidR="00A55F3B" w:rsidRPr="00DF7A9A">
        <w:rPr>
          <w:rFonts w:eastAsia="Times New Roman" w:cs="Arial"/>
          <w:lang w:eastAsia="en-GB"/>
        </w:rPr>
        <w:t>patient records via the</w:t>
      </w:r>
      <w:r w:rsidR="00272F55" w:rsidRPr="00DF7A9A">
        <w:rPr>
          <w:rFonts w:eastAsia="Times New Roman" w:cs="Arial"/>
          <w:lang w:eastAsia="en-GB"/>
        </w:rPr>
        <w:t xml:space="preserve"> EMIS </w:t>
      </w:r>
      <w:r w:rsidR="005236D1" w:rsidRPr="00DF7A9A">
        <w:rPr>
          <w:rFonts w:eastAsia="Times New Roman" w:cs="Arial"/>
          <w:lang w:eastAsia="en-GB"/>
        </w:rPr>
        <w:t xml:space="preserve">Remote Consultations </w:t>
      </w:r>
      <w:r w:rsidR="00272F55" w:rsidRPr="00DF7A9A">
        <w:rPr>
          <w:rFonts w:eastAsia="Times New Roman" w:cs="Arial"/>
          <w:lang w:eastAsia="en-GB"/>
        </w:rPr>
        <w:t>clinical system</w:t>
      </w:r>
      <w:r w:rsidR="00A55F3B" w:rsidRPr="00DF7A9A">
        <w:rPr>
          <w:rFonts w:eastAsia="Times New Roman" w:cs="Arial"/>
          <w:lang w:eastAsia="en-GB"/>
        </w:rPr>
        <w:t xml:space="preserve"> which is a nationally recognised GP system of choice.  </w:t>
      </w:r>
    </w:p>
    <w:p w14:paraId="0CDBA29B" w14:textId="77777777" w:rsidR="00DF7A9A" w:rsidRDefault="00272F55" w:rsidP="00272F55">
      <w:pPr>
        <w:spacing w:line="240" w:lineRule="auto"/>
        <w:rPr>
          <w:rFonts w:eastAsia="Times New Roman" w:cs="Arial"/>
          <w:lang w:eastAsia="en-GB"/>
        </w:rPr>
      </w:pPr>
      <w:r w:rsidRPr="00DF7A9A">
        <w:rPr>
          <w:rFonts w:eastAsia="Times New Roman" w:cs="Arial"/>
          <w:lang w:eastAsia="en-GB"/>
        </w:rPr>
        <w:t xml:space="preserve"> The information available for sharing will be </w:t>
      </w:r>
      <w:r w:rsidR="00E60C99" w:rsidRPr="00DF7A9A">
        <w:rPr>
          <w:rFonts w:eastAsia="Times New Roman" w:cs="Arial"/>
          <w:lang w:eastAsia="en-GB"/>
        </w:rPr>
        <w:t xml:space="preserve">the </w:t>
      </w:r>
      <w:r w:rsidR="005236D1" w:rsidRPr="00DF7A9A">
        <w:rPr>
          <w:rFonts w:eastAsia="Times New Roman" w:cs="Arial"/>
          <w:lang w:eastAsia="en-GB"/>
        </w:rPr>
        <w:t xml:space="preserve">full </w:t>
      </w:r>
      <w:r w:rsidR="00E60C99" w:rsidRPr="00DF7A9A">
        <w:rPr>
          <w:rFonts w:eastAsia="Times New Roman" w:cs="Arial"/>
          <w:lang w:eastAsia="en-GB"/>
        </w:rPr>
        <w:t xml:space="preserve">EMIS electronic patient records of patients registered at the GP practice and thereby </w:t>
      </w:r>
      <w:r w:rsidRPr="00DF7A9A">
        <w:rPr>
          <w:rFonts w:eastAsia="Times New Roman" w:cs="Arial"/>
          <w:lang w:eastAsia="en-GB"/>
        </w:rPr>
        <w:t>patient identifiable information.</w:t>
      </w:r>
      <w:r w:rsidR="001732F0" w:rsidRPr="00DF7A9A">
        <w:rPr>
          <w:rFonts w:eastAsia="Times New Roman" w:cs="Arial"/>
          <w:lang w:eastAsia="en-GB"/>
        </w:rPr>
        <w:t xml:space="preserve"> </w:t>
      </w:r>
      <w:r w:rsidR="00E60C99" w:rsidRPr="00DF7A9A">
        <w:rPr>
          <w:rFonts w:eastAsia="Times New Roman" w:cs="Arial"/>
          <w:lang w:eastAsia="en-GB"/>
        </w:rPr>
        <w:t xml:space="preserve"> The clinicians will be able to access patient record</w:t>
      </w:r>
      <w:r w:rsidR="005236D1" w:rsidRPr="00DF7A9A">
        <w:rPr>
          <w:rFonts w:eastAsia="Times New Roman" w:cs="Arial"/>
          <w:lang w:eastAsia="en-GB"/>
        </w:rPr>
        <w:t>s</w:t>
      </w:r>
      <w:r w:rsidR="00E60C99" w:rsidRPr="00DF7A9A">
        <w:rPr>
          <w:rFonts w:eastAsia="Times New Roman" w:cs="Arial"/>
          <w:lang w:eastAsia="en-GB"/>
        </w:rPr>
        <w:t xml:space="preserve"> from any of the GP practices listed in </w:t>
      </w:r>
      <w:r w:rsidR="00BA78D7" w:rsidRPr="00DF7A9A">
        <w:rPr>
          <w:rFonts w:eastAsia="Times New Roman" w:cs="Arial"/>
          <w:lang w:eastAsia="en-GB"/>
        </w:rPr>
        <w:t>Appendix</w:t>
      </w:r>
      <w:r w:rsidR="00E60C99" w:rsidRPr="00DF7A9A">
        <w:rPr>
          <w:rFonts w:eastAsia="Times New Roman" w:cs="Arial"/>
          <w:lang w:eastAsia="en-GB"/>
        </w:rPr>
        <w:t xml:space="preserve"> A of this document</w:t>
      </w:r>
      <w:r w:rsidR="005236D1" w:rsidRPr="00DF7A9A">
        <w:rPr>
          <w:rFonts w:eastAsia="Times New Roman" w:cs="Arial"/>
          <w:lang w:eastAsia="en-GB"/>
        </w:rPr>
        <w:t>, provided that the patient has given consent at the point of booking the appointment</w:t>
      </w:r>
      <w:r w:rsidR="00E60C99" w:rsidRPr="00DF7A9A">
        <w:rPr>
          <w:rFonts w:eastAsia="Times New Roman" w:cs="Arial"/>
          <w:lang w:eastAsia="en-GB"/>
        </w:rPr>
        <w:t>.</w:t>
      </w:r>
      <w:r w:rsidR="000B5001" w:rsidRPr="00DF7A9A">
        <w:rPr>
          <w:rFonts w:eastAsia="Times New Roman" w:cs="Arial"/>
          <w:lang w:eastAsia="en-GB"/>
        </w:rPr>
        <w:t xml:space="preserve"> </w:t>
      </w:r>
    </w:p>
    <w:p w14:paraId="60F9DD10" w14:textId="77777777" w:rsidR="00272F55" w:rsidRPr="00DF7A9A" w:rsidRDefault="000B5001" w:rsidP="00272F55">
      <w:pPr>
        <w:spacing w:line="240" w:lineRule="auto"/>
        <w:rPr>
          <w:rFonts w:eastAsia="Times New Roman" w:cs="Arial"/>
          <w:lang w:eastAsia="en-GB"/>
        </w:rPr>
      </w:pPr>
      <w:r w:rsidRPr="00DF7A9A">
        <w:rPr>
          <w:rFonts w:eastAsia="Times New Roman" w:cs="Arial"/>
          <w:lang w:eastAsia="en-GB"/>
        </w:rPr>
        <w:t>Patient records will only be accessed to support a clinical interaction</w:t>
      </w:r>
      <w:r w:rsidR="00957AC2" w:rsidRPr="00DF7A9A">
        <w:rPr>
          <w:rFonts w:eastAsia="Times New Roman" w:cs="Arial"/>
          <w:lang w:eastAsia="en-GB"/>
        </w:rPr>
        <w:t>. Any need for access for administration purposes as agreed between practices such as audit trails, clinical audits of use of rec</w:t>
      </w:r>
      <w:r w:rsidR="00156C4B" w:rsidRPr="00DF7A9A">
        <w:rPr>
          <w:rFonts w:eastAsia="Times New Roman" w:cs="Arial"/>
          <w:lang w:eastAsia="en-GB"/>
        </w:rPr>
        <w:t xml:space="preserve">ords, research studies, enhanced services or NHS health checks </w:t>
      </w:r>
      <w:r w:rsidR="00957AC2" w:rsidRPr="00DF7A9A">
        <w:rPr>
          <w:rFonts w:eastAsia="Times New Roman" w:cs="Arial"/>
          <w:lang w:eastAsia="en-GB"/>
        </w:rPr>
        <w:t xml:space="preserve">in participating surgeries or estimating capacity and such administrative tasks will </w:t>
      </w:r>
      <w:r w:rsidR="005236D1" w:rsidRPr="00DF7A9A">
        <w:rPr>
          <w:rFonts w:eastAsia="Times New Roman" w:cs="Arial"/>
          <w:lang w:eastAsia="en-GB"/>
        </w:rPr>
        <w:t xml:space="preserve">have to be agreed with the </w:t>
      </w:r>
      <w:r w:rsidR="00581526" w:rsidRPr="00DF7A9A">
        <w:rPr>
          <w:rFonts w:eastAsia="Times New Roman" w:cs="Arial"/>
          <w:lang w:eastAsia="en-GB"/>
        </w:rPr>
        <w:t>South Shropshire Medical Group Extended Access Scheme Member practices</w:t>
      </w:r>
      <w:r w:rsidR="005236D1" w:rsidRPr="00DF7A9A">
        <w:rPr>
          <w:rFonts w:eastAsia="Times New Roman" w:cs="Arial"/>
          <w:lang w:eastAsia="en-GB"/>
        </w:rPr>
        <w:t>.</w:t>
      </w:r>
      <w:r w:rsidR="00957AC2" w:rsidRPr="00DF7A9A">
        <w:rPr>
          <w:rFonts w:eastAsia="Times New Roman" w:cs="Arial"/>
          <w:lang w:eastAsia="en-GB"/>
        </w:rPr>
        <w:t xml:space="preserve"> </w:t>
      </w:r>
    </w:p>
    <w:p w14:paraId="6CA296F6" w14:textId="77777777" w:rsidR="007F667C" w:rsidRPr="00DF7A9A" w:rsidRDefault="007F667C" w:rsidP="00B80FC3">
      <w:pPr>
        <w:rPr>
          <w:rFonts w:eastAsia="Times New Roman" w:cs="Arial"/>
          <w:lang w:eastAsia="en-GB"/>
        </w:rPr>
      </w:pPr>
      <w:r w:rsidRPr="00DF7A9A">
        <w:rPr>
          <w:rFonts w:eastAsia="Times New Roman" w:cs="Arial"/>
          <w:lang w:eastAsia="en-GB"/>
        </w:rPr>
        <w:t>Patients attending for routine appointments at the hub</w:t>
      </w:r>
      <w:r w:rsidR="00057EF7" w:rsidRPr="00DF7A9A">
        <w:rPr>
          <w:rFonts w:eastAsia="Times New Roman" w:cs="Arial"/>
          <w:lang w:eastAsia="en-GB"/>
        </w:rPr>
        <w:t>(s)</w:t>
      </w:r>
      <w:r w:rsidRPr="00DF7A9A">
        <w:rPr>
          <w:rFonts w:eastAsia="Times New Roman" w:cs="Arial"/>
          <w:lang w:eastAsia="en-GB"/>
        </w:rPr>
        <w:t xml:space="preserve"> will have greater access to services </w:t>
      </w:r>
      <w:r w:rsidR="005236D1" w:rsidRPr="00DF7A9A">
        <w:rPr>
          <w:rFonts w:eastAsia="Times New Roman" w:cs="Arial"/>
          <w:lang w:eastAsia="en-GB"/>
        </w:rPr>
        <w:t xml:space="preserve">outside of core hours </w:t>
      </w:r>
      <w:r w:rsidRPr="00DF7A9A">
        <w:rPr>
          <w:rFonts w:eastAsia="Times New Roman" w:cs="Arial"/>
          <w:lang w:eastAsia="en-GB"/>
        </w:rPr>
        <w:t>to meet their needs and convenience, with the advantage of having access to their records at any hub they attend.</w:t>
      </w:r>
    </w:p>
    <w:p w14:paraId="348647A4" w14:textId="77777777" w:rsidR="00E60C99" w:rsidRDefault="00E60C99" w:rsidP="00B80FC3">
      <w:r w:rsidRPr="00E60C99">
        <w:t>Within this agreement all GP practices will be</w:t>
      </w:r>
      <w:r w:rsidR="00D36ECC">
        <w:t xml:space="preserve"> the data controller and EMIS will be the data processor for the data.</w:t>
      </w:r>
      <w:r w:rsidRPr="00E60C99">
        <w:t xml:space="preserve"> </w:t>
      </w:r>
    </w:p>
    <w:p w14:paraId="1E772430" w14:textId="77777777" w:rsidR="00272F55" w:rsidRDefault="00272F55" w:rsidP="00B80FC3">
      <w:r>
        <w:t>The EMIS clinical system will provide the data to the hub</w:t>
      </w:r>
      <w:r w:rsidR="004F3B0C">
        <w:t xml:space="preserve"> this will be via EMIS Web Clinical Services</w:t>
      </w:r>
      <w:r w:rsidR="003B4376">
        <w:t xml:space="preserve"> and EMIS Remote Consultations</w:t>
      </w:r>
      <w:r w:rsidR="007166D8">
        <w:t>.</w:t>
      </w:r>
    </w:p>
    <w:p w14:paraId="5BB41576" w14:textId="77777777" w:rsidR="00D36ECC" w:rsidRDefault="00D36ECC" w:rsidP="00B80FC3"/>
    <w:p w14:paraId="26A82969" w14:textId="77777777" w:rsidR="005236D1" w:rsidRDefault="000D1AC8" w:rsidP="005236D1">
      <w:pPr>
        <w:pStyle w:val="ListParagraph"/>
        <w:numPr>
          <w:ilvl w:val="0"/>
          <w:numId w:val="17"/>
        </w:numPr>
        <w:suppressAutoHyphens/>
        <w:ind w:left="0" w:firstLine="0"/>
        <w:contextualSpacing/>
        <w:rPr>
          <w:b/>
        </w:rPr>
      </w:pPr>
      <w:r w:rsidRPr="009F7444">
        <w:rPr>
          <w:b/>
        </w:rPr>
        <w:lastRenderedPageBreak/>
        <w:t xml:space="preserve">Legal Basis </w:t>
      </w:r>
    </w:p>
    <w:p w14:paraId="1C4956F2" w14:textId="77777777" w:rsidR="005236D1" w:rsidRPr="005236D1" w:rsidRDefault="005236D1" w:rsidP="005236D1">
      <w:pPr>
        <w:pStyle w:val="ListParagraph"/>
        <w:suppressAutoHyphens/>
        <w:ind w:left="0"/>
        <w:contextualSpacing/>
        <w:rPr>
          <w:b/>
        </w:rPr>
      </w:pPr>
    </w:p>
    <w:p w14:paraId="4499456D" w14:textId="77777777" w:rsidR="00477C93" w:rsidRDefault="000D1AC8" w:rsidP="00477C93">
      <w:pPr>
        <w:rPr>
          <w:b/>
        </w:rPr>
      </w:pPr>
      <w:r w:rsidRPr="009F7444">
        <w:rPr>
          <w:b/>
        </w:rPr>
        <w:t>It is the intention that all aspects of</w:t>
      </w:r>
      <w:r w:rsidR="004D744B">
        <w:rPr>
          <w:b/>
        </w:rPr>
        <w:t xml:space="preserve"> </w:t>
      </w:r>
      <w:r w:rsidR="006E20D3">
        <w:rPr>
          <w:b/>
        </w:rPr>
        <w:t xml:space="preserve">this </w:t>
      </w:r>
      <w:r w:rsidR="006E20D3" w:rsidRPr="009F7444">
        <w:rPr>
          <w:b/>
        </w:rPr>
        <w:t xml:space="preserve">information </w:t>
      </w:r>
      <w:r w:rsidR="009D7BC5">
        <w:rPr>
          <w:b/>
        </w:rPr>
        <w:t xml:space="preserve">sharing </w:t>
      </w:r>
      <w:r w:rsidR="006E20D3">
        <w:rPr>
          <w:b/>
        </w:rPr>
        <w:t>agreement</w:t>
      </w:r>
      <w:r w:rsidRPr="009F7444">
        <w:rPr>
          <w:b/>
        </w:rPr>
        <w:t xml:space="preserve"> shall comply with legislation that protects personal data.</w:t>
      </w:r>
    </w:p>
    <w:p w14:paraId="47093353" w14:textId="77777777" w:rsidR="00081AB0" w:rsidRDefault="00081AB0" w:rsidP="00477C93">
      <w:r>
        <w:t xml:space="preserve">The </w:t>
      </w:r>
      <w:r w:rsidR="005236D1">
        <w:t>Data Protection Act 2018</w:t>
      </w:r>
      <w:r>
        <w:t xml:space="preserve"> provides for the sharing of information where it supports direct patient care.</w:t>
      </w:r>
      <w:r w:rsidR="00B37331">
        <w:t xml:space="preserve">                                                                                                                                                                                                                                                                                                                                                                                                                                                                                                                                                                                                                                                                                                                                                                                                                                                                     </w:t>
      </w:r>
      <w:r>
        <w:t xml:space="preserve">  </w:t>
      </w:r>
    </w:p>
    <w:p w14:paraId="4702D0FE" w14:textId="77777777" w:rsidR="00877437" w:rsidRDefault="00567742" w:rsidP="00477C93">
      <w:r>
        <w:t xml:space="preserve">Patients at each practice will be made aware of the </w:t>
      </w:r>
      <w:r w:rsidR="00347993">
        <w:t>availability of additional routine appointments</w:t>
      </w:r>
      <w:r>
        <w:t xml:space="preserve"> by a robust communications plan</w:t>
      </w:r>
      <w:r w:rsidR="007F667C">
        <w:t xml:space="preserve"> </w:t>
      </w:r>
      <w:r w:rsidR="003B4376">
        <w:t>(SMS</w:t>
      </w:r>
      <w:r w:rsidR="00057EF7">
        <w:t xml:space="preserve">, website, </w:t>
      </w:r>
      <w:r w:rsidR="003B4376">
        <w:t xml:space="preserve">fair processing </w:t>
      </w:r>
      <w:r w:rsidR="00057EF7">
        <w:t>notice</w:t>
      </w:r>
      <w:r w:rsidR="003B4376">
        <w:t>,</w:t>
      </w:r>
      <w:r w:rsidR="00057EF7">
        <w:t xml:space="preserve"> </w:t>
      </w:r>
      <w:r w:rsidR="00347993">
        <w:t>social media</w:t>
      </w:r>
      <w:r w:rsidR="00A8693A">
        <w:t xml:space="preserve">) </w:t>
      </w:r>
      <w:r w:rsidR="007F667C">
        <w:t xml:space="preserve">and as the model </w:t>
      </w:r>
      <w:r w:rsidR="00877437">
        <w:t>develops,</w:t>
      </w:r>
      <w:r w:rsidR="007F667C">
        <w:t xml:space="preserve"> the additional services </w:t>
      </w:r>
      <w:r w:rsidR="00347993">
        <w:t>may be added to the scheme</w:t>
      </w:r>
      <w:r>
        <w:t xml:space="preserve">.  </w:t>
      </w:r>
      <w:r w:rsidR="007F667C">
        <w:t>In the first instance, p</w:t>
      </w:r>
      <w:r>
        <w:t xml:space="preserve">atients </w:t>
      </w:r>
      <w:r w:rsidR="00FA3883">
        <w:t xml:space="preserve">can access the hub for </w:t>
      </w:r>
      <w:r w:rsidR="00347993">
        <w:t xml:space="preserve">routine appointments </w:t>
      </w:r>
      <w:r w:rsidR="00057EF7">
        <w:t>as made available</w:t>
      </w:r>
      <w:r w:rsidR="00347993">
        <w:t>, bookable directly through their own GP practice.</w:t>
      </w:r>
      <w:r w:rsidR="00877437">
        <w:t xml:space="preserve"> </w:t>
      </w:r>
    </w:p>
    <w:p w14:paraId="521871F2" w14:textId="77777777" w:rsidR="00877437" w:rsidRDefault="00347993" w:rsidP="00A8693A">
      <w:pPr>
        <w:pStyle w:val="BodyTextIndent"/>
        <w:spacing w:after="0"/>
        <w:ind w:left="0"/>
      </w:pPr>
      <w:r>
        <w:t>Practices</w:t>
      </w:r>
      <w:r w:rsidR="009B3EEC">
        <w:t xml:space="preserve"> will</w:t>
      </w:r>
      <w:r w:rsidR="00877437">
        <w:t xml:space="preserve"> have access to the appointment booking system within the hub and book the appointment for the patient.</w:t>
      </w:r>
      <w:r w:rsidR="00836148">
        <w:t xml:space="preserve"> C</w:t>
      </w:r>
      <w:r w:rsidR="00C67993">
        <w:t>onsent will be obtained via a</w:t>
      </w:r>
      <w:r w:rsidR="00836148">
        <w:t xml:space="preserve"> telephone</w:t>
      </w:r>
      <w:r w:rsidR="00C67993">
        <w:t xml:space="preserve"> conversation with </w:t>
      </w:r>
      <w:r w:rsidR="00836148">
        <w:t>th</w:t>
      </w:r>
      <w:r w:rsidR="00C67993">
        <w:t>e patient by</w:t>
      </w:r>
      <w:r w:rsidR="001E18E6">
        <w:t xml:space="preserve"> the </w:t>
      </w:r>
      <w:r>
        <w:t>member of staff booking the appointment</w:t>
      </w:r>
      <w:r w:rsidR="001E18E6">
        <w:t>.</w:t>
      </w:r>
      <w:r w:rsidR="00C67993">
        <w:t xml:space="preserve"> Once consent has been obtained the patient will then atte</w:t>
      </w:r>
      <w:r w:rsidR="00D44451">
        <w:t xml:space="preserve">nd </w:t>
      </w:r>
      <w:r w:rsidR="007166D8">
        <w:t xml:space="preserve">the </w:t>
      </w:r>
      <w:r>
        <w:t>hub(s) for their appointment.</w:t>
      </w:r>
    </w:p>
    <w:p w14:paraId="0ED82A4F" w14:textId="77777777" w:rsidR="00A8693A" w:rsidRDefault="00A8693A" w:rsidP="00A8693A">
      <w:pPr>
        <w:pStyle w:val="BodyTextIndent"/>
        <w:spacing w:after="0"/>
        <w:ind w:left="0"/>
      </w:pPr>
    </w:p>
    <w:p w14:paraId="15DBC090" w14:textId="77777777" w:rsidR="00121F2C" w:rsidRPr="004B0E8B" w:rsidRDefault="00121F2C" w:rsidP="008E69AA">
      <w:pPr>
        <w:pStyle w:val="ListParagraph"/>
        <w:numPr>
          <w:ilvl w:val="0"/>
          <w:numId w:val="17"/>
        </w:numPr>
        <w:rPr>
          <w:b/>
        </w:rPr>
      </w:pPr>
      <w:r w:rsidRPr="004B0E8B">
        <w:rPr>
          <w:b/>
        </w:rPr>
        <w:t>How is consent obtained</w:t>
      </w:r>
    </w:p>
    <w:p w14:paraId="2A772011" w14:textId="77777777" w:rsidR="00885638" w:rsidRDefault="0081261F" w:rsidP="00477C93">
      <w:r>
        <w:t>Explicit consent will be gained from p</w:t>
      </w:r>
      <w:r w:rsidR="00567742">
        <w:t xml:space="preserve">atients </w:t>
      </w:r>
      <w:r>
        <w:t>for their records to be accessed by a clinicians</w:t>
      </w:r>
      <w:r w:rsidR="001F0E83">
        <w:t xml:space="preserve"> </w:t>
      </w:r>
      <w:r>
        <w:t xml:space="preserve">working in the hub, and is a condition of accepting an appointment, </w:t>
      </w:r>
      <w:r w:rsidR="00081AB0" w:rsidRPr="00C80C34">
        <w:t>complying with Data Protection Act requirements.  Where consent is obtained, this will be recorded</w:t>
      </w:r>
      <w:r w:rsidR="00E60C99" w:rsidRPr="00E60C99">
        <w:t xml:space="preserve"> </w:t>
      </w:r>
      <w:r w:rsidR="00E60C99">
        <w:t>o</w:t>
      </w:r>
      <w:r w:rsidR="00E60C99" w:rsidRPr="00E60C99">
        <w:t xml:space="preserve">n the </w:t>
      </w:r>
      <w:r w:rsidR="00687EF2">
        <w:t>clinical system.</w:t>
      </w:r>
      <w:r w:rsidR="00E60C99">
        <w:t xml:space="preserve"> </w:t>
      </w:r>
    </w:p>
    <w:p w14:paraId="3715F827" w14:textId="77777777" w:rsidR="00081AB0" w:rsidRDefault="00081AB0" w:rsidP="00477C93">
      <w:r>
        <w:t xml:space="preserve">If a patient is unfit to consent, </w:t>
      </w:r>
      <w:r w:rsidR="000274F4">
        <w:t>i.e.</w:t>
      </w:r>
      <w:r>
        <w:t xml:space="preserve"> unconscious, then consent maybe overridden in order to appropriately provide care for that patient.  (The Data Protection Act allows for this since consent can be overridden if it is in the </w:t>
      </w:r>
      <w:r w:rsidR="00D46EDF">
        <w:t xml:space="preserve">vital </w:t>
      </w:r>
      <w:r>
        <w:t>intere</w:t>
      </w:r>
      <w:r w:rsidR="00D46EDF">
        <w:t xml:space="preserve">sts of the patient). </w:t>
      </w:r>
      <w:r w:rsidR="00B64EDF">
        <w:t xml:space="preserve">If a patient is unable to provide informed consent then the patient’s carer, next of kin will be able to give consent for the clinician to view this information in the best interest of the patient.   </w:t>
      </w:r>
      <w:r w:rsidR="00D46EDF">
        <w:t xml:space="preserve"> </w:t>
      </w:r>
    </w:p>
    <w:p w14:paraId="60DDD10C" w14:textId="77777777" w:rsidR="00A8693A" w:rsidRDefault="00D46EDF" w:rsidP="00477C93">
      <w:r w:rsidRPr="00C80C34">
        <w:t xml:space="preserve">The model of consent allows patients to </w:t>
      </w:r>
      <w:r w:rsidR="006A6E96" w:rsidRPr="00C80C34">
        <w:t>provide single use ac</w:t>
      </w:r>
      <w:r w:rsidR="00C02F40" w:rsidRPr="00C80C34">
        <w:t xml:space="preserve">cess </w:t>
      </w:r>
      <w:r w:rsidR="004012C5" w:rsidRPr="00C80C34">
        <w:t>on the day and</w:t>
      </w:r>
      <w:r w:rsidR="007B5F69" w:rsidRPr="00C80C34">
        <w:t xml:space="preserve"> at the time of the appointment only</w:t>
      </w:r>
      <w:r w:rsidR="00F64160">
        <w:t>.</w:t>
      </w:r>
      <w:r w:rsidR="00E60C99">
        <w:t xml:space="preserve"> </w:t>
      </w:r>
      <w:r w:rsidR="00E60C99" w:rsidRPr="00E60C99">
        <w:t xml:space="preserve">Once the </w:t>
      </w:r>
      <w:r w:rsidR="00347993">
        <w:t>consultation is complete</w:t>
      </w:r>
      <w:r w:rsidR="00E60C99" w:rsidRPr="00E60C99">
        <w:t xml:space="preserve"> then consent is terminated. The patient has to consent again </w:t>
      </w:r>
      <w:r w:rsidR="00E60C99">
        <w:t>if</w:t>
      </w:r>
      <w:r w:rsidR="00E60C99" w:rsidRPr="00E60C99">
        <w:t xml:space="preserve"> they accept a</w:t>
      </w:r>
      <w:r w:rsidR="00E60C99">
        <w:t xml:space="preserve"> further</w:t>
      </w:r>
      <w:r w:rsidR="00E60C99" w:rsidRPr="00E60C99">
        <w:t xml:space="preserve"> appointment to </w:t>
      </w:r>
      <w:r w:rsidR="00687EF2">
        <w:t>attend</w:t>
      </w:r>
      <w:r w:rsidR="00E60C99" w:rsidRPr="00E60C99">
        <w:t xml:space="preserve"> the Hub.</w:t>
      </w:r>
      <w:r w:rsidR="0032475A">
        <w:t xml:space="preserve"> </w:t>
      </w:r>
    </w:p>
    <w:p w14:paraId="38A9B43E" w14:textId="77777777" w:rsidR="000D1AC8" w:rsidRPr="009F7444" w:rsidRDefault="000D1AC8" w:rsidP="00D34FD8">
      <w:pPr>
        <w:pStyle w:val="BodyTextIndent"/>
        <w:numPr>
          <w:ilvl w:val="0"/>
          <w:numId w:val="17"/>
        </w:numPr>
        <w:suppressAutoHyphens/>
        <w:spacing w:after="0"/>
        <w:rPr>
          <w:b/>
        </w:rPr>
      </w:pPr>
      <w:r w:rsidRPr="009F7444">
        <w:rPr>
          <w:b/>
        </w:rPr>
        <w:t xml:space="preserve">How is this information going to </w:t>
      </w:r>
      <w:r w:rsidR="007F3067" w:rsidRPr="009F7444">
        <w:rPr>
          <w:b/>
        </w:rPr>
        <w:t xml:space="preserve">be </w:t>
      </w:r>
      <w:r w:rsidR="007F3067">
        <w:rPr>
          <w:b/>
        </w:rPr>
        <w:t>made</w:t>
      </w:r>
      <w:r w:rsidR="00F65430">
        <w:rPr>
          <w:b/>
        </w:rPr>
        <w:t xml:space="preserve"> available</w:t>
      </w:r>
      <w:r w:rsidRPr="009F7444">
        <w:rPr>
          <w:b/>
        </w:rPr>
        <w:t>?</w:t>
      </w:r>
    </w:p>
    <w:p w14:paraId="6174842A" w14:textId="77777777" w:rsidR="009C01FE" w:rsidRDefault="009C01FE" w:rsidP="000D1AC8">
      <w:pPr>
        <w:pStyle w:val="BodyTextIndent"/>
        <w:spacing w:after="0"/>
        <w:ind w:left="0"/>
      </w:pPr>
      <w:r>
        <w:t xml:space="preserve">Information will be made available through the use of </w:t>
      </w:r>
      <w:r w:rsidRPr="007166D8">
        <w:rPr>
          <w:u w:val="single"/>
        </w:rPr>
        <w:t>EMIS Web Clinical services</w:t>
      </w:r>
      <w:r>
        <w:t xml:space="preserve"> module </w:t>
      </w:r>
      <w:r w:rsidR="007166D8">
        <w:t xml:space="preserve">and EMIS </w:t>
      </w:r>
      <w:r w:rsidR="00957AC2">
        <w:t>Remote Consult</w:t>
      </w:r>
      <w:r w:rsidR="007166D8">
        <w:t>ations m</w:t>
      </w:r>
      <w:r w:rsidR="00957AC2">
        <w:t>odule</w:t>
      </w:r>
      <w:r>
        <w:t xml:space="preserve">. </w:t>
      </w:r>
    </w:p>
    <w:p w14:paraId="4DFF30B3" w14:textId="77777777" w:rsidR="00687EF2" w:rsidRDefault="00687EF2" w:rsidP="00687EF2">
      <w:pPr>
        <w:pStyle w:val="BodyTextIndent"/>
        <w:suppressAutoHyphens/>
        <w:spacing w:after="0"/>
        <w:ind w:left="0"/>
        <w:rPr>
          <w:b/>
        </w:rPr>
      </w:pPr>
    </w:p>
    <w:p w14:paraId="51FC1D04" w14:textId="77777777" w:rsidR="000D1AC8" w:rsidRPr="009F7444" w:rsidRDefault="000D1AC8" w:rsidP="00D34FD8">
      <w:pPr>
        <w:pStyle w:val="BodyTextIndent"/>
        <w:numPr>
          <w:ilvl w:val="0"/>
          <w:numId w:val="17"/>
        </w:numPr>
        <w:suppressAutoHyphens/>
        <w:spacing w:after="0"/>
        <w:rPr>
          <w:b/>
        </w:rPr>
      </w:pPr>
      <w:r w:rsidRPr="009F7444">
        <w:rPr>
          <w:b/>
        </w:rPr>
        <w:t>Who will have access to this data and what may they use it for?</w:t>
      </w:r>
    </w:p>
    <w:p w14:paraId="4FF20210" w14:textId="77777777" w:rsidR="00D46EDF" w:rsidRDefault="00D36ECC" w:rsidP="000D1AC8">
      <w:pPr>
        <w:pStyle w:val="BodyTextIndent"/>
        <w:spacing w:after="0"/>
        <w:ind w:left="0"/>
      </w:pPr>
      <w:r>
        <w:t>Health Professionals</w:t>
      </w:r>
      <w:r w:rsidR="004012C5">
        <w:t xml:space="preserve"> working within the hub will have access to the </w:t>
      </w:r>
      <w:r w:rsidR="00E072C8" w:rsidRPr="00E072C8">
        <w:t>pa</w:t>
      </w:r>
      <w:r w:rsidR="007E1C2D">
        <w:t>tient records via the EMIS</w:t>
      </w:r>
      <w:r w:rsidR="007166D8">
        <w:t xml:space="preserve"> </w:t>
      </w:r>
      <w:r w:rsidR="009B3EEC">
        <w:t>Web</w:t>
      </w:r>
      <w:r w:rsidR="00E072C8" w:rsidRPr="00E072C8">
        <w:t xml:space="preserve"> system.</w:t>
      </w:r>
      <w:r w:rsidR="00687EF2">
        <w:t xml:space="preserve">  </w:t>
      </w:r>
      <w:r w:rsidR="00D46EDF">
        <w:t>Access is restricted by username and password.  Access is also rol</w:t>
      </w:r>
      <w:r w:rsidR="004012C5">
        <w:t>e</w:t>
      </w:r>
      <w:r w:rsidR="00D46EDF">
        <w:t xml:space="preserve"> based, and therefore </w:t>
      </w:r>
      <w:r w:rsidR="00650D72">
        <w:t>can be tailored to ensure only necessary information is viewable.</w:t>
      </w:r>
      <w:r w:rsidR="00FA2C0B">
        <w:t xml:space="preserve">  In all circumstances, the information will only ever be used for direct patient care.</w:t>
      </w:r>
      <w:r w:rsidR="00BD6A72" w:rsidRPr="00BD6A72">
        <w:t xml:space="preserve"> </w:t>
      </w:r>
      <w:r w:rsidR="00BD6A72">
        <w:t xml:space="preserve"> </w:t>
      </w:r>
    </w:p>
    <w:p w14:paraId="1245F0F7" w14:textId="77777777" w:rsidR="00687EF2" w:rsidRDefault="00687EF2" w:rsidP="000D1AC8">
      <w:pPr>
        <w:pStyle w:val="BodyTextIndent"/>
        <w:spacing w:after="0"/>
        <w:ind w:left="0"/>
      </w:pPr>
    </w:p>
    <w:p w14:paraId="2039DC58" w14:textId="77777777" w:rsidR="00687EF2" w:rsidRDefault="00347993" w:rsidP="00347993">
      <w:pPr>
        <w:pStyle w:val="BodyTextIndent"/>
        <w:spacing w:after="0"/>
        <w:ind w:left="0"/>
      </w:pPr>
      <w:r>
        <w:t xml:space="preserve">Administrative staff </w:t>
      </w:r>
      <w:r w:rsidR="00687EF2">
        <w:t>will have access to the EMIS system within the hub to acc</w:t>
      </w:r>
      <w:r w:rsidR="0081261F">
        <w:t xml:space="preserve">ept patients on arrival and to assist </w:t>
      </w:r>
      <w:r w:rsidR="00687EF2">
        <w:t>with sending information on</w:t>
      </w:r>
      <w:r w:rsidR="0081261F">
        <w:t xml:space="preserve"> </w:t>
      </w:r>
      <w:r w:rsidR="00687EF2">
        <w:t>to other services and back to practices where required by the clinicians.</w:t>
      </w:r>
      <w:r>
        <w:t xml:space="preserve"> </w:t>
      </w:r>
    </w:p>
    <w:p w14:paraId="66C6E0AD" w14:textId="77777777" w:rsidR="00581526" w:rsidRPr="00687EF2" w:rsidRDefault="00581526" w:rsidP="000D1AC8">
      <w:pPr>
        <w:pStyle w:val="BodyTextIndent"/>
        <w:spacing w:after="0"/>
        <w:ind w:left="0"/>
      </w:pPr>
    </w:p>
    <w:p w14:paraId="76A63C57" w14:textId="77777777" w:rsidR="000D1AC8" w:rsidRPr="009F7444" w:rsidRDefault="000D1AC8" w:rsidP="00D34FD8">
      <w:pPr>
        <w:pStyle w:val="BodyTextIndent"/>
        <w:numPr>
          <w:ilvl w:val="0"/>
          <w:numId w:val="17"/>
        </w:numPr>
        <w:suppressAutoHyphens/>
        <w:spacing w:after="0"/>
        <w:rPr>
          <w:b/>
        </w:rPr>
      </w:pPr>
      <w:r w:rsidRPr="009F7444">
        <w:rPr>
          <w:b/>
        </w:rPr>
        <w:lastRenderedPageBreak/>
        <w:t>Further Use of Data</w:t>
      </w:r>
    </w:p>
    <w:p w14:paraId="6265BA3B" w14:textId="77777777" w:rsidR="00FC4F23" w:rsidRDefault="000D1AC8" w:rsidP="000D1AC8">
      <w:pPr>
        <w:pStyle w:val="BodyTextIndent"/>
        <w:spacing w:after="0"/>
        <w:ind w:left="0"/>
      </w:pPr>
      <w:r w:rsidRPr="009F7444">
        <w:t>Th</w:t>
      </w:r>
      <w:r w:rsidR="00150C6C">
        <w:t>ere</w:t>
      </w:r>
      <w:r w:rsidRPr="009F7444">
        <w:t xml:space="preserve"> </w:t>
      </w:r>
      <w:r w:rsidR="007F3067">
        <w:t xml:space="preserve">is no other use of </w:t>
      </w:r>
      <w:r w:rsidR="00160B42">
        <w:t xml:space="preserve">this </w:t>
      </w:r>
      <w:r w:rsidR="00BA78D7">
        <w:t>data;</w:t>
      </w:r>
      <w:r w:rsidR="00E072C8">
        <w:t xml:space="preserve"> the</w:t>
      </w:r>
      <w:r w:rsidR="00F779C5">
        <w:t xml:space="preserve"> data will be used for</w:t>
      </w:r>
      <w:r w:rsidR="007F3067">
        <w:t xml:space="preserve"> </w:t>
      </w:r>
      <w:r w:rsidR="00477C93">
        <w:t>patient care</w:t>
      </w:r>
      <w:r w:rsidR="004012C5">
        <w:t xml:space="preserve"> only</w:t>
      </w:r>
      <w:r w:rsidR="00D4364C">
        <w:t xml:space="preserve">. Any parties using the data for purposes </w:t>
      </w:r>
      <w:r w:rsidR="00FD141F">
        <w:t xml:space="preserve">not </w:t>
      </w:r>
      <w:r w:rsidR="00D4364C">
        <w:t>specified in this data sharing agreement will be subject to an investigation and disciplinary procedures</w:t>
      </w:r>
      <w:r w:rsidR="00FD141F">
        <w:t xml:space="preserve"> of their host organisation</w:t>
      </w:r>
      <w:r w:rsidR="00D4364C">
        <w:t>.</w:t>
      </w:r>
    </w:p>
    <w:p w14:paraId="73A66789" w14:textId="77777777" w:rsidR="00E072C8" w:rsidRDefault="00E072C8" w:rsidP="000D1AC8">
      <w:pPr>
        <w:pStyle w:val="BodyTextIndent"/>
        <w:spacing w:after="0"/>
        <w:ind w:left="0"/>
      </w:pPr>
    </w:p>
    <w:p w14:paraId="51DEE782" w14:textId="77777777" w:rsidR="00FC4F23" w:rsidRPr="00FC4F23" w:rsidRDefault="00FC4F23" w:rsidP="00D34FD8">
      <w:pPr>
        <w:pStyle w:val="BodyTextIndent"/>
        <w:numPr>
          <w:ilvl w:val="0"/>
          <w:numId w:val="17"/>
        </w:numPr>
        <w:suppressAutoHyphens/>
        <w:spacing w:after="0"/>
        <w:rPr>
          <w:b/>
        </w:rPr>
      </w:pPr>
      <w:r>
        <w:rPr>
          <w:b/>
        </w:rPr>
        <w:t>Scope of Data that will be needed to be shared.</w:t>
      </w:r>
    </w:p>
    <w:p w14:paraId="6F644010" w14:textId="77777777" w:rsidR="00DF7A9A" w:rsidRDefault="00885638" w:rsidP="00FC4F23">
      <w:pPr>
        <w:pStyle w:val="BodyTextIndent"/>
        <w:spacing w:after="0"/>
        <w:ind w:left="0"/>
      </w:pPr>
      <w:r>
        <w:t xml:space="preserve">The </w:t>
      </w:r>
      <w:r w:rsidR="00FD141F">
        <w:t>full patient record will be available</w:t>
      </w:r>
      <w:r w:rsidR="00655779">
        <w:t xml:space="preserve"> to the viewing clinician.</w:t>
      </w:r>
      <w:r>
        <w:t xml:space="preserve">  </w:t>
      </w:r>
      <w:r w:rsidR="00655779">
        <w:t xml:space="preserve">Each </w:t>
      </w:r>
      <w:r w:rsidRPr="00C80C34">
        <w:t>individual practice will be responsible for the quality and accuracy of the data shared with the hub.  The clinician responsible for the data entered during consultation at the hub is responsible for the quality and accuracy of that data</w:t>
      </w:r>
      <w:r w:rsidR="00655779">
        <w:t xml:space="preserve"> and ensuring it meets the standards and processes put in place by the </w:t>
      </w:r>
      <w:r w:rsidR="00347993">
        <w:t>Shropshire Clinical Commissioning Group</w:t>
      </w:r>
      <w:r w:rsidRPr="00C80C34">
        <w:t>.</w:t>
      </w:r>
      <w:r w:rsidR="00347993">
        <w:t xml:space="preserve"> </w:t>
      </w:r>
    </w:p>
    <w:p w14:paraId="73FA9DD8" w14:textId="77777777" w:rsidR="00DF7A9A" w:rsidRDefault="00DF7A9A" w:rsidP="00FC4F23">
      <w:pPr>
        <w:pStyle w:val="BodyTextIndent"/>
        <w:spacing w:after="0"/>
        <w:ind w:left="0"/>
      </w:pPr>
    </w:p>
    <w:p w14:paraId="7086675E" w14:textId="77777777" w:rsidR="00FC4F23" w:rsidRDefault="00DF7A9A" w:rsidP="00FC4F23">
      <w:pPr>
        <w:pStyle w:val="BodyTextIndent"/>
        <w:spacing w:after="0"/>
        <w:ind w:left="0"/>
      </w:pPr>
      <w:r>
        <w:t xml:space="preserve">For any recommendations for investigations or referrals a standard letter will be saved in the notes by the viewing clinician and they will also send an urgent message to the patients registered practice for them to consider actioning the recommendation. </w:t>
      </w:r>
      <w:r w:rsidR="00347993">
        <w:t>Any urgent message to a</w:t>
      </w:r>
      <w:r w:rsidR="00957AC2">
        <w:t xml:space="preserve"> patients GP needs to be sent explicitly via </w:t>
      </w:r>
      <w:r>
        <w:t xml:space="preserve">this </w:t>
      </w:r>
      <w:r w:rsidR="00957AC2">
        <w:t xml:space="preserve">agreed method rather than just an entry in the patients consultation as this may not be routinely seen by the </w:t>
      </w:r>
      <w:r w:rsidR="00D86445">
        <w:t>patient’s</w:t>
      </w:r>
      <w:r w:rsidR="00957AC2">
        <w:t xml:space="preserve"> own surgery.</w:t>
      </w:r>
    </w:p>
    <w:p w14:paraId="6F3883BF" w14:textId="77777777" w:rsidR="00D34FD8" w:rsidRDefault="00D34FD8" w:rsidP="00FC4F23">
      <w:pPr>
        <w:pStyle w:val="BodyTextIndent"/>
        <w:spacing w:after="0"/>
        <w:ind w:left="0"/>
      </w:pPr>
    </w:p>
    <w:p w14:paraId="6623274D" w14:textId="77777777" w:rsidR="00347993" w:rsidRPr="00347993" w:rsidRDefault="00347993" w:rsidP="00347993">
      <w:pPr>
        <w:pStyle w:val="ListParagraph"/>
        <w:numPr>
          <w:ilvl w:val="0"/>
          <w:numId w:val="17"/>
        </w:numPr>
        <w:rPr>
          <w:b/>
        </w:rPr>
      </w:pPr>
      <w:r>
        <w:rPr>
          <w:b/>
        </w:rPr>
        <w:t>Audit</w:t>
      </w:r>
    </w:p>
    <w:p w14:paraId="6DA7AAFB" w14:textId="77777777" w:rsidR="00D34FD8" w:rsidRDefault="0081261F" w:rsidP="00D34FD8">
      <w:r>
        <w:t xml:space="preserve">An administrator from one of the member Practices will </w:t>
      </w:r>
      <w:r w:rsidR="00D34FD8">
        <w:t xml:space="preserve">carry out regular audits to ensure appropriate access has been made. </w:t>
      </w:r>
      <w:r>
        <w:t>The appointment of the administrator will be approved by all member practices.</w:t>
      </w:r>
    </w:p>
    <w:p w14:paraId="5457629B" w14:textId="77777777" w:rsidR="002235EC" w:rsidRPr="00D34FD8" w:rsidRDefault="00D34FD8" w:rsidP="00D34FD8">
      <w:r>
        <w:t>There may be some legislative restrictions on the sharing of information.  These would be automatically applied within the system and will prevent any of this information from leaving the practice system</w:t>
      </w:r>
      <w:r w:rsidR="009E42DF">
        <w:t xml:space="preserve"> and being a</w:t>
      </w:r>
      <w:r w:rsidR="004540C1">
        <w:t>vailable in the urgent care hub</w:t>
      </w:r>
      <w:r>
        <w:t>.  Au</w:t>
      </w:r>
      <w:r w:rsidR="00347993">
        <w:t xml:space="preserve">dits will be carried out on the Extended Access Scheme </w:t>
      </w:r>
      <w:r w:rsidR="00655779">
        <w:t>hub</w:t>
      </w:r>
      <w:r w:rsidR="00347993">
        <w:t>(s)</w:t>
      </w:r>
      <w:r w:rsidR="00655779">
        <w:t xml:space="preserve"> </w:t>
      </w:r>
      <w:r>
        <w:t xml:space="preserve">on a </w:t>
      </w:r>
      <w:r w:rsidR="00347993">
        <w:t>quarterly</w:t>
      </w:r>
      <w:r>
        <w:t xml:space="preserve"> basis. The audit will consist of how many patients attended the hub on a given day, whether those</w:t>
      </w:r>
      <w:r w:rsidR="004540C1">
        <w:t xml:space="preserve"> same</w:t>
      </w:r>
      <w:r>
        <w:t xml:space="preserve"> </w:t>
      </w:r>
      <w:r w:rsidR="004540C1">
        <w:t>patient</w:t>
      </w:r>
      <w:r>
        <w:t xml:space="preserve"> records were accessed on that given day. If it is identified that </w:t>
      </w:r>
      <w:r w:rsidR="004540C1">
        <w:t>other/different patient</w:t>
      </w:r>
      <w:r>
        <w:t xml:space="preserve"> records were accessed who did not attend the hub then this will be investigated</w:t>
      </w:r>
      <w:r w:rsidR="0081261F">
        <w:t xml:space="preserve"> by the employing Practice Manager of the staff member that accessed the record.</w:t>
      </w:r>
    </w:p>
    <w:p w14:paraId="376EC53A" w14:textId="77777777" w:rsidR="00A5551B" w:rsidRDefault="002D21BE" w:rsidP="00FE7C69">
      <w:pPr>
        <w:pStyle w:val="BodyText"/>
        <w:numPr>
          <w:ilvl w:val="0"/>
          <w:numId w:val="17"/>
        </w:numPr>
        <w:rPr>
          <w:b/>
        </w:rPr>
      </w:pPr>
      <w:r w:rsidRPr="00A5551B">
        <w:rPr>
          <w:rFonts w:asciiTheme="minorHAnsi" w:hAnsiTheme="minorHAnsi"/>
          <w:b/>
        </w:rPr>
        <w:t>Incident Reporting</w:t>
      </w:r>
      <w:r>
        <w:rPr>
          <w:b/>
        </w:rPr>
        <w:t xml:space="preserve"> </w:t>
      </w:r>
    </w:p>
    <w:p w14:paraId="2F9111A5" w14:textId="77777777" w:rsidR="003312F8" w:rsidRDefault="00477C93" w:rsidP="000D1AC8">
      <w:pPr>
        <w:pStyle w:val="BodyText"/>
        <w:ind w:left="0"/>
        <w:rPr>
          <w:rFonts w:ascii="Calibri" w:hAnsi="Calibri"/>
          <w:bCs/>
          <w:szCs w:val="22"/>
          <w:lang w:val="en-GB"/>
        </w:rPr>
      </w:pPr>
      <w:r>
        <w:rPr>
          <w:rFonts w:ascii="Calibri" w:hAnsi="Calibri"/>
          <w:bCs/>
          <w:szCs w:val="22"/>
          <w:lang w:val="en-GB"/>
        </w:rPr>
        <w:t xml:space="preserve">There is a procedure </w:t>
      </w:r>
      <w:r w:rsidR="00085BF9" w:rsidRPr="001C58F2">
        <w:rPr>
          <w:rFonts w:ascii="Calibri" w:hAnsi="Calibri"/>
          <w:bCs/>
          <w:szCs w:val="22"/>
          <w:lang w:val="en-GB"/>
        </w:rPr>
        <w:t xml:space="preserve">Partners will follow if there is a breach of this Agreement by a </w:t>
      </w:r>
      <w:r w:rsidR="000274F4" w:rsidRPr="001C58F2">
        <w:rPr>
          <w:rFonts w:ascii="Calibri" w:hAnsi="Calibri"/>
          <w:bCs/>
          <w:szCs w:val="22"/>
          <w:lang w:val="en-GB"/>
        </w:rPr>
        <w:t>Partner</w:t>
      </w:r>
      <w:r w:rsidR="00220C39">
        <w:rPr>
          <w:rFonts w:ascii="Calibri" w:hAnsi="Calibri"/>
          <w:bCs/>
          <w:szCs w:val="22"/>
          <w:lang w:val="en-GB"/>
        </w:rPr>
        <w:t xml:space="preserve"> which will be provided by the service provider in line with Information Governance legislation</w:t>
      </w:r>
      <w:r w:rsidR="000274F4" w:rsidRPr="001C58F2">
        <w:rPr>
          <w:rFonts w:ascii="Calibri" w:hAnsi="Calibri"/>
          <w:bCs/>
          <w:szCs w:val="22"/>
          <w:lang w:val="en-GB"/>
        </w:rPr>
        <w:t>.</w:t>
      </w:r>
      <w:r w:rsidR="00684E37">
        <w:rPr>
          <w:rFonts w:ascii="Calibri" w:hAnsi="Calibri"/>
          <w:bCs/>
          <w:szCs w:val="22"/>
          <w:lang w:val="en-GB"/>
        </w:rPr>
        <w:t xml:space="preserve">  </w:t>
      </w:r>
      <w:r w:rsidR="00D36ECC">
        <w:rPr>
          <w:rFonts w:ascii="Calibri" w:hAnsi="Calibri"/>
          <w:bCs/>
          <w:szCs w:val="22"/>
          <w:lang w:val="en-GB"/>
        </w:rPr>
        <w:t>The SSMG Governance Board</w:t>
      </w:r>
      <w:r w:rsidR="00CA5061">
        <w:rPr>
          <w:rFonts w:ascii="Calibri" w:hAnsi="Calibri"/>
          <w:bCs/>
          <w:szCs w:val="22"/>
          <w:lang w:val="en-GB"/>
        </w:rPr>
        <w:t xml:space="preserve"> </w:t>
      </w:r>
      <w:r w:rsidR="00711F21">
        <w:rPr>
          <w:rFonts w:ascii="Calibri" w:hAnsi="Calibri"/>
          <w:bCs/>
          <w:szCs w:val="22"/>
          <w:lang w:val="en-GB"/>
        </w:rPr>
        <w:t>must</w:t>
      </w:r>
      <w:r w:rsidR="00085BF9">
        <w:rPr>
          <w:rFonts w:ascii="Calibri" w:hAnsi="Calibri"/>
          <w:bCs/>
          <w:szCs w:val="22"/>
          <w:lang w:val="en-GB"/>
        </w:rPr>
        <w:t xml:space="preserve"> be notified</w:t>
      </w:r>
      <w:r w:rsidR="00684E37">
        <w:rPr>
          <w:rFonts w:ascii="Calibri" w:hAnsi="Calibri"/>
          <w:bCs/>
          <w:szCs w:val="22"/>
          <w:lang w:val="en-GB"/>
        </w:rPr>
        <w:t xml:space="preserve"> who will conduct an investigation and keep the relevant practices updated as to findings. </w:t>
      </w:r>
      <w:r w:rsidR="00957AC2">
        <w:rPr>
          <w:rFonts w:ascii="Calibri" w:hAnsi="Calibri"/>
          <w:bCs/>
          <w:szCs w:val="22"/>
          <w:lang w:val="en-GB"/>
        </w:rPr>
        <w:t xml:space="preserve"> </w:t>
      </w:r>
      <w:r w:rsidR="00684E37">
        <w:rPr>
          <w:rFonts w:ascii="Calibri" w:hAnsi="Calibri"/>
          <w:bCs/>
          <w:szCs w:val="22"/>
          <w:lang w:val="en-GB"/>
        </w:rPr>
        <w:t xml:space="preserve"> </w:t>
      </w:r>
    </w:p>
    <w:p w14:paraId="6B5EBD08" w14:textId="77777777" w:rsidR="003312F8" w:rsidRDefault="003312F8" w:rsidP="000D1AC8">
      <w:pPr>
        <w:pStyle w:val="BodyText"/>
        <w:ind w:left="0"/>
        <w:rPr>
          <w:rFonts w:ascii="Calibri" w:hAnsi="Calibri"/>
          <w:bCs/>
          <w:szCs w:val="22"/>
          <w:lang w:val="en-GB"/>
        </w:rPr>
      </w:pPr>
    </w:p>
    <w:p w14:paraId="2C86D0CC" w14:textId="77777777" w:rsidR="003312F8" w:rsidRDefault="00085BF9" w:rsidP="000D1AC8">
      <w:pPr>
        <w:pStyle w:val="BodyText"/>
        <w:ind w:left="0"/>
        <w:rPr>
          <w:rFonts w:ascii="Calibri" w:hAnsi="Calibri"/>
          <w:bCs/>
          <w:szCs w:val="22"/>
          <w:lang w:val="en-GB"/>
        </w:rPr>
      </w:pPr>
      <w:r>
        <w:rPr>
          <w:rFonts w:ascii="Calibri" w:hAnsi="Calibri"/>
          <w:bCs/>
          <w:szCs w:val="22"/>
          <w:lang w:val="en-GB"/>
        </w:rPr>
        <w:t>Th</w:t>
      </w:r>
      <w:r w:rsidRPr="003E3673">
        <w:rPr>
          <w:rFonts w:ascii="Calibri" w:hAnsi="Calibri"/>
          <w:bCs/>
          <w:szCs w:val="22"/>
          <w:lang w:val="en-GB"/>
        </w:rPr>
        <w:t>e</w:t>
      </w:r>
      <w:r>
        <w:rPr>
          <w:rFonts w:ascii="Calibri" w:hAnsi="Calibri"/>
          <w:bCs/>
          <w:szCs w:val="22"/>
          <w:lang w:val="en-GB"/>
        </w:rPr>
        <w:t xml:space="preserve"> partners will have to agree if </w:t>
      </w:r>
      <w:r w:rsidR="00347993">
        <w:rPr>
          <w:rFonts w:ascii="Calibri" w:hAnsi="Calibri"/>
          <w:bCs/>
          <w:szCs w:val="22"/>
          <w:lang w:val="en-GB"/>
        </w:rPr>
        <w:t>the Information C</w:t>
      </w:r>
      <w:r w:rsidR="00477C93">
        <w:rPr>
          <w:rFonts w:ascii="Calibri" w:hAnsi="Calibri"/>
          <w:bCs/>
          <w:szCs w:val="22"/>
          <w:lang w:val="en-GB"/>
        </w:rPr>
        <w:t xml:space="preserve">ommissioner’s office </w:t>
      </w:r>
      <w:r w:rsidR="00E9533E">
        <w:rPr>
          <w:rFonts w:ascii="Calibri" w:hAnsi="Calibri"/>
          <w:bCs/>
          <w:szCs w:val="22"/>
          <w:lang w:val="en-GB"/>
        </w:rPr>
        <w:t xml:space="preserve">(ICO) </w:t>
      </w:r>
      <w:r w:rsidR="00477C93">
        <w:rPr>
          <w:rFonts w:ascii="Calibri" w:hAnsi="Calibri"/>
          <w:bCs/>
          <w:szCs w:val="22"/>
          <w:lang w:val="en-GB"/>
        </w:rPr>
        <w:t>should be notified and if</w:t>
      </w:r>
      <w:r>
        <w:rPr>
          <w:rFonts w:ascii="Calibri" w:hAnsi="Calibri"/>
          <w:bCs/>
          <w:szCs w:val="22"/>
          <w:lang w:val="en-GB"/>
        </w:rPr>
        <w:t xml:space="preserve"> </w:t>
      </w:r>
      <w:r w:rsidR="00C14A94">
        <w:rPr>
          <w:rFonts w:ascii="Calibri" w:hAnsi="Calibri"/>
          <w:bCs/>
          <w:szCs w:val="22"/>
          <w:lang w:val="en-GB"/>
        </w:rPr>
        <w:t>disciplinary</w:t>
      </w:r>
      <w:r>
        <w:rPr>
          <w:rFonts w:ascii="Calibri" w:hAnsi="Calibri"/>
          <w:bCs/>
          <w:szCs w:val="22"/>
          <w:lang w:val="en-GB"/>
        </w:rPr>
        <w:t xml:space="preserve"> action or criminal proceedings is required.</w:t>
      </w:r>
      <w:r w:rsidR="00634DF6">
        <w:rPr>
          <w:rFonts w:ascii="Calibri" w:hAnsi="Calibri"/>
          <w:bCs/>
          <w:szCs w:val="22"/>
          <w:lang w:val="en-GB"/>
        </w:rPr>
        <w:t xml:space="preserve"> </w:t>
      </w:r>
      <w:r w:rsidR="00BD6A72">
        <w:rPr>
          <w:rFonts w:ascii="Calibri" w:hAnsi="Calibri"/>
          <w:bCs/>
          <w:szCs w:val="22"/>
          <w:lang w:val="en-GB"/>
        </w:rPr>
        <w:t>This will be recorded as part of the practice IG toolkit.</w:t>
      </w:r>
      <w:r w:rsidR="00E072C8">
        <w:rPr>
          <w:rFonts w:ascii="Calibri" w:hAnsi="Calibri"/>
          <w:bCs/>
          <w:szCs w:val="22"/>
          <w:lang w:val="en-GB"/>
        </w:rPr>
        <w:t xml:space="preserve"> </w:t>
      </w:r>
    </w:p>
    <w:p w14:paraId="4B04E35F" w14:textId="77777777" w:rsidR="003312F8" w:rsidRDefault="003312F8" w:rsidP="000D1AC8">
      <w:pPr>
        <w:pStyle w:val="BodyText"/>
        <w:ind w:left="0"/>
        <w:rPr>
          <w:rFonts w:ascii="Calibri" w:hAnsi="Calibri"/>
          <w:bCs/>
          <w:szCs w:val="22"/>
          <w:lang w:val="en-GB"/>
        </w:rPr>
      </w:pPr>
    </w:p>
    <w:p w14:paraId="1593955F" w14:textId="77777777" w:rsidR="00085BF9" w:rsidRDefault="00E072C8" w:rsidP="000D1AC8">
      <w:pPr>
        <w:pStyle w:val="BodyText"/>
        <w:ind w:left="0"/>
        <w:rPr>
          <w:rFonts w:ascii="Calibri" w:hAnsi="Calibri"/>
          <w:bCs/>
          <w:szCs w:val="22"/>
          <w:lang w:val="en-GB"/>
        </w:rPr>
      </w:pPr>
      <w:r w:rsidRPr="00E072C8">
        <w:rPr>
          <w:rFonts w:ascii="Calibri" w:hAnsi="Calibri"/>
          <w:bCs/>
          <w:szCs w:val="22"/>
          <w:lang w:val="en-GB"/>
        </w:rPr>
        <w:t xml:space="preserve">All security breaches and breaches of confidentiality that occur at the Hub must be reported on the GP practices toolkit, to which the patient is registered at that GP practice or </w:t>
      </w:r>
      <w:r w:rsidR="003312F8">
        <w:rPr>
          <w:rFonts w:ascii="Calibri" w:hAnsi="Calibri"/>
          <w:bCs/>
          <w:szCs w:val="22"/>
          <w:lang w:val="en-GB"/>
        </w:rPr>
        <w:t xml:space="preserve">whoever </w:t>
      </w:r>
      <w:r w:rsidRPr="00E072C8">
        <w:rPr>
          <w:rFonts w:ascii="Calibri" w:hAnsi="Calibri"/>
          <w:bCs/>
          <w:szCs w:val="22"/>
          <w:lang w:val="en-GB"/>
        </w:rPr>
        <w:t xml:space="preserve">is the data controller for that patient. The individual </w:t>
      </w:r>
      <w:r w:rsidR="003312F8">
        <w:rPr>
          <w:rFonts w:ascii="Calibri" w:hAnsi="Calibri"/>
          <w:bCs/>
          <w:szCs w:val="22"/>
          <w:lang w:val="en-GB"/>
        </w:rPr>
        <w:t>H</w:t>
      </w:r>
      <w:r w:rsidR="00745E6D">
        <w:rPr>
          <w:rFonts w:ascii="Calibri" w:hAnsi="Calibri"/>
          <w:bCs/>
          <w:szCs w:val="22"/>
          <w:lang w:val="en-GB"/>
        </w:rPr>
        <w:t>ealth Prof</w:t>
      </w:r>
      <w:r w:rsidR="003312F8">
        <w:rPr>
          <w:rFonts w:ascii="Calibri" w:hAnsi="Calibri"/>
          <w:bCs/>
          <w:szCs w:val="22"/>
          <w:lang w:val="en-GB"/>
        </w:rPr>
        <w:t>essional</w:t>
      </w:r>
      <w:r w:rsidRPr="00E072C8">
        <w:rPr>
          <w:rFonts w:ascii="Calibri" w:hAnsi="Calibri"/>
          <w:bCs/>
          <w:szCs w:val="22"/>
          <w:lang w:val="en-GB"/>
        </w:rPr>
        <w:t xml:space="preserve"> in the hub that has caused the breach must also report the incident on their IG toolkit for the GP Practice which they are employed by. All </w:t>
      </w:r>
      <w:r w:rsidRPr="00E072C8">
        <w:rPr>
          <w:rFonts w:ascii="Calibri" w:hAnsi="Calibri"/>
          <w:bCs/>
          <w:szCs w:val="22"/>
          <w:lang w:val="en-GB"/>
        </w:rPr>
        <w:lastRenderedPageBreak/>
        <w:t>level two incidents must be reported on the IG Toolkit. All incidents must be reported in 24 hours of becoming aware of the incident.</w:t>
      </w:r>
    </w:p>
    <w:p w14:paraId="59D61987" w14:textId="77777777" w:rsidR="0081261F" w:rsidRPr="00581526" w:rsidRDefault="000D1AC8" w:rsidP="000D1AC8">
      <w:pPr>
        <w:pStyle w:val="BodyText"/>
        <w:ind w:left="0"/>
        <w:rPr>
          <w:rFonts w:ascii="Calibri" w:hAnsi="Calibri"/>
          <w:bCs/>
          <w:szCs w:val="22"/>
          <w:lang w:val="en-GB"/>
        </w:rPr>
      </w:pPr>
      <w:r w:rsidRPr="001C58F2">
        <w:rPr>
          <w:rFonts w:ascii="Calibri" w:hAnsi="Calibri"/>
          <w:bCs/>
          <w:szCs w:val="22"/>
          <w:lang w:val="en-GB"/>
        </w:rPr>
        <w:t xml:space="preserve">  </w:t>
      </w:r>
    </w:p>
    <w:p w14:paraId="059E3CD8" w14:textId="77777777" w:rsidR="000D1AC8" w:rsidRPr="001C58F2" w:rsidRDefault="000D1AC8" w:rsidP="008E69AA">
      <w:pPr>
        <w:pStyle w:val="BodyText"/>
        <w:numPr>
          <w:ilvl w:val="0"/>
          <w:numId w:val="17"/>
        </w:numPr>
        <w:suppressAutoHyphens/>
        <w:overflowPunct/>
        <w:autoSpaceDE/>
        <w:autoSpaceDN/>
        <w:adjustRightInd/>
        <w:ind w:left="0" w:firstLine="0"/>
        <w:textAlignment w:val="auto"/>
        <w:rPr>
          <w:rFonts w:ascii="Calibri" w:hAnsi="Calibri"/>
          <w:b/>
          <w:bCs/>
          <w:szCs w:val="22"/>
          <w:lang w:val="en-GB"/>
        </w:rPr>
      </w:pPr>
      <w:r w:rsidRPr="001C58F2">
        <w:rPr>
          <w:rFonts w:ascii="Calibri" w:hAnsi="Calibri"/>
          <w:b/>
          <w:bCs/>
          <w:szCs w:val="22"/>
          <w:lang w:val="en-GB"/>
        </w:rPr>
        <w:t>Complaints procedures</w:t>
      </w:r>
    </w:p>
    <w:p w14:paraId="2290D40E" w14:textId="77777777" w:rsidR="003965EC" w:rsidRPr="003965EC" w:rsidRDefault="0081261F" w:rsidP="00CA5061">
      <w:pPr>
        <w:pStyle w:val="BodyText"/>
        <w:ind w:left="0"/>
        <w:rPr>
          <w:rFonts w:ascii="Calibri" w:hAnsi="Calibri"/>
          <w:color w:val="FF0000"/>
          <w:szCs w:val="22"/>
          <w:lang w:val="en-GB"/>
        </w:rPr>
      </w:pPr>
      <w:r>
        <w:rPr>
          <w:rFonts w:ascii="Calibri" w:hAnsi="Calibri"/>
          <w:szCs w:val="22"/>
          <w:lang w:val="en-GB"/>
        </w:rPr>
        <w:t>Each member practice</w:t>
      </w:r>
      <w:r w:rsidR="000D1AC8" w:rsidRPr="001C58F2">
        <w:rPr>
          <w:rFonts w:ascii="Calibri" w:hAnsi="Calibri"/>
          <w:szCs w:val="22"/>
          <w:lang w:val="en-GB"/>
        </w:rPr>
        <w:t xml:space="preserve"> must be committed to having procedures in place to address complaints relating to inappropriate disclosure or failure to disclose personal information. </w:t>
      </w:r>
      <w:r w:rsidR="0037719A">
        <w:rPr>
          <w:rFonts w:ascii="Calibri" w:hAnsi="Calibri"/>
          <w:szCs w:val="22"/>
          <w:lang w:val="en-GB"/>
        </w:rPr>
        <w:t xml:space="preserve">Any complaints made against this data sharing agreement will be dealt with by </w:t>
      </w:r>
      <w:r w:rsidR="00CA5061">
        <w:rPr>
          <w:rFonts w:ascii="Calibri" w:hAnsi="Calibri"/>
          <w:szCs w:val="22"/>
          <w:lang w:val="en-GB"/>
        </w:rPr>
        <w:t xml:space="preserve">the </w:t>
      </w:r>
      <w:r w:rsidR="003312F8">
        <w:rPr>
          <w:rFonts w:cs="Times New Roman"/>
          <w:sz w:val="20"/>
        </w:rPr>
        <w:t xml:space="preserve">South </w:t>
      </w:r>
      <w:proofErr w:type="spellStart"/>
      <w:r w:rsidR="003312F8">
        <w:rPr>
          <w:rFonts w:cs="Times New Roman"/>
          <w:sz w:val="20"/>
        </w:rPr>
        <w:t>Shropshire</w:t>
      </w:r>
      <w:proofErr w:type="spellEnd"/>
      <w:r w:rsidR="003312F8">
        <w:rPr>
          <w:rFonts w:cs="Times New Roman"/>
          <w:sz w:val="20"/>
        </w:rPr>
        <w:t xml:space="preserve"> </w:t>
      </w:r>
      <w:r w:rsidR="00745E6D">
        <w:rPr>
          <w:rFonts w:cs="Times New Roman"/>
          <w:sz w:val="20"/>
        </w:rPr>
        <w:t>Governance Board</w:t>
      </w:r>
      <w:r w:rsidR="003312F8">
        <w:rPr>
          <w:rFonts w:cs="Times New Roman"/>
          <w:sz w:val="20"/>
        </w:rPr>
        <w:t>.</w:t>
      </w:r>
    </w:p>
    <w:p w14:paraId="2923EFA9" w14:textId="77777777" w:rsidR="00150C6C" w:rsidRDefault="00150C6C" w:rsidP="000D1AC8">
      <w:pPr>
        <w:pStyle w:val="BodyText"/>
        <w:ind w:left="0"/>
        <w:rPr>
          <w:rFonts w:ascii="Calibri" w:hAnsi="Calibri"/>
          <w:szCs w:val="22"/>
          <w:lang w:val="en-GB"/>
        </w:rPr>
      </w:pPr>
    </w:p>
    <w:p w14:paraId="62ADE050" w14:textId="77777777" w:rsidR="000D1AC8" w:rsidRPr="001C58F2" w:rsidRDefault="00C82385" w:rsidP="008E69AA">
      <w:pPr>
        <w:pStyle w:val="BodyText"/>
        <w:numPr>
          <w:ilvl w:val="0"/>
          <w:numId w:val="17"/>
        </w:numPr>
        <w:ind w:left="709" w:hanging="709"/>
        <w:rPr>
          <w:rFonts w:ascii="Calibri" w:hAnsi="Calibri"/>
          <w:b/>
          <w:bCs/>
          <w:szCs w:val="22"/>
          <w:lang w:val="en-GB"/>
        </w:rPr>
      </w:pPr>
      <w:r>
        <w:rPr>
          <w:rFonts w:ascii="Calibri" w:hAnsi="Calibri"/>
          <w:b/>
          <w:bCs/>
          <w:szCs w:val="22"/>
          <w:lang w:val="en-GB"/>
        </w:rPr>
        <w:t xml:space="preserve">Subject Access Requests </w:t>
      </w:r>
    </w:p>
    <w:p w14:paraId="43834690" w14:textId="77777777" w:rsidR="000D1AC8" w:rsidRDefault="000D1AC8" w:rsidP="000D1AC8">
      <w:pPr>
        <w:rPr>
          <w:lang w:val="en-US"/>
        </w:rPr>
      </w:pPr>
      <w:r w:rsidRPr="001C58F2">
        <w:t xml:space="preserve">The sixth principle of the Data Protection Act </w:t>
      </w:r>
      <w:r w:rsidR="0081261F">
        <w:t>2018</w:t>
      </w:r>
      <w:r w:rsidRPr="001C58F2">
        <w:t xml:space="preserve"> provides individuals the right to have access to information held about them with limited exemptions.  It is necessary to ensure that only appropriate access to information is granted therefore the agreement must detail the responsibilities of each organisation to ensure individuals rights are met appropriately</w:t>
      </w:r>
      <w:r w:rsidRPr="00C80C34">
        <w:t xml:space="preserve">.  </w:t>
      </w:r>
      <w:r w:rsidR="006739C6" w:rsidRPr="00C80C34">
        <w:rPr>
          <w:lang w:val="en-US"/>
        </w:rPr>
        <w:t xml:space="preserve">Any </w:t>
      </w:r>
      <w:r w:rsidR="001732F0" w:rsidRPr="00C80C34">
        <w:rPr>
          <w:lang w:val="en-US"/>
        </w:rPr>
        <w:t xml:space="preserve">subject access </w:t>
      </w:r>
      <w:r w:rsidR="006739C6" w:rsidRPr="00C80C34">
        <w:rPr>
          <w:lang w:val="en-US"/>
        </w:rPr>
        <w:t xml:space="preserve">requests for information will be made </w:t>
      </w:r>
      <w:r w:rsidR="009E182F">
        <w:rPr>
          <w:lang w:val="en-US"/>
        </w:rPr>
        <w:t xml:space="preserve">to the GP practice to which that patient is registered. </w:t>
      </w:r>
    </w:p>
    <w:p w14:paraId="1E36D290" w14:textId="77777777" w:rsidR="00684E37" w:rsidRPr="00684E37" w:rsidRDefault="00684E37" w:rsidP="008E69AA">
      <w:pPr>
        <w:pStyle w:val="ListParagraph"/>
        <w:numPr>
          <w:ilvl w:val="0"/>
          <w:numId w:val="17"/>
        </w:numPr>
        <w:ind w:left="709" w:hanging="709"/>
        <w:rPr>
          <w:b/>
          <w:lang w:val="en-US"/>
        </w:rPr>
      </w:pPr>
      <w:r w:rsidRPr="00684E37">
        <w:rPr>
          <w:b/>
          <w:lang w:val="en-US"/>
        </w:rPr>
        <w:t xml:space="preserve"> IT Security</w:t>
      </w:r>
    </w:p>
    <w:p w14:paraId="3838A665" w14:textId="77777777" w:rsidR="00B77DF7" w:rsidRDefault="0081261F" w:rsidP="0047125E">
      <w:r>
        <w:rPr>
          <w:lang w:val="en-US"/>
        </w:rPr>
        <w:t xml:space="preserve">The </w:t>
      </w:r>
      <w:r w:rsidR="00581526" w:rsidRPr="003312F8">
        <w:t xml:space="preserve">South Shropshire Medical Group Extended Access </w:t>
      </w:r>
      <w:r w:rsidR="003312F8">
        <w:t xml:space="preserve">Member practices </w:t>
      </w:r>
      <w:r w:rsidR="00581526" w:rsidRPr="003312F8">
        <w:t>Scheme</w:t>
      </w:r>
      <w:r w:rsidR="00581526">
        <w:rPr>
          <w:rFonts w:eastAsia="Times New Roman" w:cs="Times New Roman"/>
          <w:sz w:val="20"/>
          <w:szCs w:val="20"/>
        </w:rPr>
        <w:t xml:space="preserve"> </w:t>
      </w:r>
      <w:r w:rsidR="00684E37">
        <w:rPr>
          <w:lang w:val="en-US"/>
        </w:rPr>
        <w:t>ha</w:t>
      </w:r>
      <w:r w:rsidR="004012C5">
        <w:rPr>
          <w:lang w:val="en-US"/>
        </w:rPr>
        <w:t>ve</w:t>
      </w:r>
      <w:r w:rsidR="00684E37">
        <w:rPr>
          <w:lang w:val="en-US"/>
        </w:rPr>
        <w:t xml:space="preserve"> strict policies for </w:t>
      </w:r>
      <w:r>
        <w:rPr>
          <w:lang w:val="en-US"/>
        </w:rPr>
        <w:t>their</w:t>
      </w:r>
      <w:r w:rsidR="00684E37">
        <w:rPr>
          <w:lang w:val="en-US"/>
        </w:rPr>
        <w:t xml:space="preserve"> staff to follow regarding access to IT equ</w:t>
      </w:r>
      <w:r>
        <w:rPr>
          <w:lang w:val="en-US"/>
        </w:rPr>
        <w:t>ipment and</w:t>
      </w:r>
      <w:r w:rsidR="00684E37">
        <w:rPr>
          <w:lang w:val="en-US"/>
        </w:rPr>
        <w:t xml:space="preserve"> </w:t>
      </w:r>
      <w:r>
        <w:rPr>
          <w:lang w:val="en-US"/>
        </w:rPr>
        <w:t>Smartcard</w:t>
      </w:r>
      <w:r w:rsidR="003312F8">
        <w:rPr>
          <w:lang w:val="en-US"/>
        </w:rPr>
        <w:t xml:space="preserve"> usage</w:t>
      </w:r>
      <w:r>
        <w:rPr>
          <w:lang w:val="en-US"/>
        </w:rPr>
        <w:t xml:space="preserve">, </w:t>
      </w:r>
      <w:r w:rsidR="00684E37">
        <w:rPr>
          <w:lang w:val="en-US"/>
        </w:rPr>
        <w:t xml:space="preserve">including not sharing passwords and log </w:t>
      </w:r>
      <w:r w:rsidR="004012C5">
        <w:rPr>
          <w:lang w:val="en-US"/>
        </w:rPr>
        <w:t>in details; these pro</w:t>
      </w:r>
      <w:r w:rsidR="00E9533E">
        <w:rPr>
          <w:lang w:val="en-US"/>
        </w:rPr>
        <w:t>cedures will be applied to the</w:t>
      </w:r>
      <w:r w:rsidR="004012C5">
        <w:rPr>
          <w:lang w:val="en-US"/>
        </w:rPr>
        <w:t xml:space="preserve"> hub environment</w:t>
      </w:r>
      <w:r w:rsidR="00684E37">
        <w:rPr>
          <w:lang w:val="en-US"/>
        </w:rPr>
        <w:t xml:space="preserve">.  </w:t>
      </w:r>
      <w:r w:rsidR="00E072C8" w:rsidRPr="00E072C8">
        <w:t xml:space="preserve"> </w:t>
      </w:r>
    </w:p>
    <w:p w14:paraId="7054407D" w14:textId="77777777" w:rsidR="00B77DF7" w:rsidRDefault="00D0581D" w:rsidP="00B77DF7">
      <w:r>
        <w:t xml:space="preserve">Access to the system will be via use of </w:t>
      </w:r>
      <w:r w:rsidR="00E27253">
        <w:t xml:space="preserve">username and password </w:t>
      </w:r>
      <w:r w:rsidR="0081261F">
        <w:t xml:space="preserve">or Smartcard </w:t>
      </w:r>
      <w:r>
        <w:t>and e</w:t>
      </w:r>
      <w:r w:rsidR="00B77DF7">
        <w:t xml:space="preserve">mployees are personally responsible for ensuring patient/staff information is protected and only used for specified and lawful purposes. </w:t>
      </w:r>
    </w:p>
    <w:p w14:paraId="6B3AE668" w14:textId="77777777" w:rsidR="00E352EE" w:rsidRDefault="00B77DF7" w:rsidP="00CA5061">
      <w:pPr>
        <w:autoSpaceDE w:val="0"/>
        <w:autoSpaceDN w:val="0"/>
        <w:adjustRightInd w:val="0"/>
        <w:spacing w:after="0" w:line="240" w:lineRule="auto"/>
        <w:rPr>
          <w:rFonts w:ascii="Calibri" w:hAnsi="Calibri" w:cs="Calibri"/>
        </w:rPr>
      </w:pPr>
      <w:r>
        <w:t xml:space="preserve">Accessing information using another person’s </w:t>
      </w:r>
      <w:r w:rsidR="00CA5061">
        <w:t xml:space="preserve">account </w:t>
      </w:r>
      <w:r>
        <w:t>is against the law, even if you are authorised to h</w:t>
      </w:r>
      <w:r w:rsidR="00CA5061">
        <w:t>ave access to the information.</w:t>
      </w:r>
      <w:r w:rsidR="00CA5061">
        <w:br/>
      </w:r>
    </w:p>
    <w:p w14:paraId="4DA60C4E" w14:textId="77777777" w:rsidR="00E352EE" w:rsidRDefault="00FD1B7A" w:rsidP="00E352EE">
      <w:pPr>
        <w:rPr>
          <w:lang w:val="en-US"/>
        </w:rPr>
      </w:pPr>
      <w:r>
        <w:t>All</w:t>
      </w:r>
      <w:r w:rsidR="00E352EE" w:rsidRPr="00E072C8">
        <w:rPr>
          <w:lang w:val="en-US"/>
        </w:rPr>
        <w:t xml:space="preserve"> </w:t>
      </w:r>
      <w:r w:rsidR="00581526" w:rsidRPr="00DF7A9A">
        <w:rPr>
          <w:rFonts w:eastAsia="Times New Roman" w:cs="Arial"/>
          <w:lang w:eastAsia="en-GB"/>
        </w:rPr>
        <w:t xml:space="preserve">South Shropshire Medical Group Extended Access Scheme Member </w:t>
      </w:r>
      <w:r w:rsidR="0081261F">
        <w:rPr>
          <w:lang w:val="en-US"/>
        </w:rPr>
        <w:t>practices</w:t>
      </w:r>
      <w:r w:rsidR="00E352EE" w:rsidRPr="00E072C8">
        <w:rPr>
          <w:lang w:val="en-US"/>
        </w:rPr>
        <w:t xml:space="preserve"> </w:t>
      </w:r>
      <w:r w:rsidR="00CA5061">
        <w:rPr>
          <w:lang w:val="en-US"/>
        </w:rPr>
        <w:t xml:space="preserve">are required to </w:t>
      </w:r>
      <w:r w:rsidR="00E352EE" w:rsidRPr="00E072C8">
        <w:rPr>
          <w:lang w:val="en-US"/>
        </w:rPr>
        <w:t xml:space="preserve">have a </w:t>
      </w:r>
      <w:r w:rsidR="0081261F">
        <w:rPr>
          <w:lang w:val="en-US"/>
        </w:rPr>
        <w:t xml:space="preserve">minimum </w:t>
      </w:r>
      <w:r w:rsidR="00E352EE" w:rsidRPr="00E072C8">
        <w:rPr>
          <w:lang w:val="en-US"/>
        </w:rPr>
        <w:t xml:space="preserve">compliant level 2 Information Governance toolkit. </w:t>
      </w:r>
    </w:p>
    <w:p w14:paraId="7632F528" w14:textId="77777777" w:rsidR="00E352EE" w:rsidRPr="009F7444" w:rsidRDefault="00E352EE" w:rsidP="008E69AA">
      <w:pPr>
        <w:pStyle w:val="BodyTextIndent"/>
        <w:numPr>
          <w:ilvl w:val="0"/>
          <w:numId w:val="17"/>
        </w:numPr>
        <w:suppressAutoHyphens/>
        <w:spacing w:after="0"/>
        <w:ind w:left="0" w:firstLine="0"/>
        <w:rPr>
          <w:b/>
        </w:rPr>
      </w:pPr>
      <w:r w:rsidRPr="009F7444">
        <w:rPr>
          <w:b/>
        </w:rPr>
        <w:t xml:space="preserve">Review of Information </w:t>
      </w:r>
      <w:r>
        <w:rPr>
          <w:b/>
        </w:rPr>
        <w:t xml:space="preserve">Sharing </w:t>
      </w:r>
      <w:r w:rsidRPr="009F7444">
        <w:rPr>
          <w:b/>
        </w:rPr>
        <w:t>Agreement</w:t>
      </w:r>
    </w:p>
    <w:p w14:paraId="1BF40428" w14:textId="77777777" w:rsidR="00E352EE" w:rsidRDefault="00E352EE" w:rsidP="00E352EE">
      <w:pPr>
        <w:pStyle w:val="BodyTextIndent"/>
        <w:spacing w:after="0"/>
        <w:ind w:left="0"/>
      </w:pPr>
      <w:r>
        <w:t>This agreement will be reviewed</w:t>
      </w:r>
      <w:r w:rsidR="003312F8">
        <w:t xml:space="preserve"> in July 2019</w:t>
      </w:r>
      <w:r>
        <w:t xml:space="preserve"> and </w:t>
      </w:r>
      <w:r w:rsidR="0081261F">
        <w:t xml:space="preserve">3 yearly </w:t>
      </w:r>
      <w:r>
        <w:t>thereafter dependent on the funding of the scheme.  It may be necessary to update the agreement in year, for example to add new areas where the records maybe visible should there be an expansion of the service to new sites.  These changes will be communicated to practices with new agreements for authorisation</w:t>
      </w:r>
      <w:r w:rsidR="004B0E8B">
        <w:t xml:space="preserve"> and c</w:t>
      </w:r>
      <w:r>
        <w:t xml:space="preserve">hanges will be highlighted.  Where necessary, fresh approvals will be made to the LMC, CCG and patients groups.  </w:t>
      </w:r>
    </w:p>
    <w:p w14:paraId="7B50397C" w14:textId="77777777" w:rsidR="00E352EE" w:rsidRDefault="00E352EE" w:rsidP="00E352EE">
      <w:pPr>
        <w:pStyle w:val="BodyTextIndent"/>
        <w:spacing w:after="0"/>
        <w:ind w:left="0"/>
      </w:pPr>
    </w:p>
    <w:p w14:paraId="4FBA4AC6" w14:textId="77777777" w:rsidR="00E352EE" w:rsidRPr="009F7444" w:rsidRDefault="00E352EE" w:rsidP="008E69AA">
      <w:pPr>
        <w:pStyle w:val="BodyTextIndent"/>
        <w:numPr>
          <w:ilvl w:val="0"/>
          <w:numId w:val="17"/>
        </w:numPr>
        <w:spacing w:after="0"/>
        <w:ind w:left="770" w:hanging="800"/>
        <w:rPr>
          <w:b/>
        </w:rPr>
      </w:pPr>
      <w:r w:rsidRPr="009F7444">
        <w:rPr>
          <w:b/>
        </w:rPr>
        <w:t>Closure/termination of agreement</w:t>
      </w:r>
    </w:p>
    <w:p w14:paraId="38D36A2B" w14:textId="77777777" w:rsidR="00E352EE" w:rsidRDefault="00E352EE" w:rsidP="00E352EE">
      <w:pPr>
        <w:pStyle w:val="BodyTextIndent"/>
        <w:spacing w:after="0"/>
        <w:ind w:left="0"/>
        <w:rPr>
          <w:b/>
        </w:rPr>
      </w:pPr>
      <w:r>
        <w:t xml:space="preserve">The practice can opt out of this sharing agreement at any time but must provide a notice period of not less than 30 days.  This must be communicated in writing to the </w:t>
      </w:r>
      <w:r w:rsidR="00581526">
        <w:t xml:space="preserve">Chair of the </w:t>
      </w:r>
      <w:r w:rsidR="00581526">
        <w:rPr>
          <w:rFonts w:cs="Times New Roman"/>
          <w:sz w:val="20"/>
          <w:szCs w:val="20"/>
        </w:rPr>
        <w:t>South Shropshire Medical Group</w:t>
      </w:r>
      <w:r>
        <w:t>. It is the responsibility of the practice opting out to communicate this to all of the partners to the data sharing agreement and inform the EMIS provider to stop the access to the practice data from the hub.</w:t>
      </w:r>
      <w:r w:rsidRPr="00D0581D">
        <w:t xml:space="preserve"> If a practice does decide to opt of the data sharing agreement then it is the responsibility of the GP Practice to communicate to patients that they can no longer access the </w:t>
      </w:r>
      <w:r w:rsidR="0081261F">
        <w:t>extended access</w:t>
      </w:r>
      <w:r w:rsidRPr="00D0581D">
        <w:t xml:space="preserve"> hub for appointments due to this termination of sharing information.</w:t>
      </w:r>
      <w:r>
        <w:t xml:space="preserve"> </w:t>
      </w:r>
    </w:p>
    <w:p w14:paraId="219CBE1A" w14:textId="77777777" w:rsidR="0081261F" w:rsidRDefault="0081261F" w:rsidP="00E352EE">
      <w:pPr>
        <w:pStyle w:val="BodyTextIndent"/>
        <w:spacing w:after="0"/>
        <w:ind w:left="0"/>
        <w:rPr>
          <w:b/>
        </w:rPr>
      </w:pPr>
    </w:p>
    <w:p w14:paraId="1535B40E" w14:textId="77777777" w:rsidR="00E352EE" w:rsidRPr="009F7444" w:rsidRDefault="00E352EE" w:rsidP="008E69AA">
      <w:pPr>
        <w:pStyle w:val="BodyTextIndent"/>
        <w:numPr>
          <w:ilvl w:val="0"/>
          <w:numId w:val="17"/>
        </w:numPr>
        <w:suppressAutoHyphens/>
        <w:spacing w:after="0"/>
        <w:ind w:left="0" w:firstLine="0"/>
        <w:rPr>
          <w:b/>
        </w:rPr>
      </w:pPr>
      <w:r w:rsidRPr="009F7444">
        <w:rPr>
          <w:b/>
        </w:rPr>
        <w:lastRenderedPageBreak/>
        <w:t>Freedom of Information Act 2000 (FOIA)</w:t>
      </w:r>
    </w:p>
    <w:p w14:paraId="484930F0" w14:textId="77777777" w:rsidR="00E352EE" w:rsidRDefault="00FC1A79" w:rsidP="00E352EE">
      <w:pPr>
        <w:pStyle w:val="BodyTextIndent"/>
        <w:spacing w:after="0"/>
        <w:ind w:left="0"/>
        <w:rPr>
          <w:bCs/>
        </w:rPr>
      </w:pPr>
      <w:r w:rsidRPr="00437E21">
        <w:rPr>
          <w:bCs/>
        </w:rPr>
        <w:t>The practice may wish to upload this data sharing agreement to its practice website to inform the patients and public</w:t>
      </w:r>
      <w:r w:rsidR="00C523F9">
        <w:rPr>
          <w:bCs/>
        </w:rPr>
        <w:t xml:space="preserve"> of the data sharing regarding GP hubs.</w:t>
      </w:r>
      <w:r w:rsidRPr="00437E21">
        <w:rPr>
          <w:bCs/>
        </w:rPr>
        <w:t xml:space="preserve"> </w:t>
      </w:r>
      <w:r w:rsidR="00E352EE" w:rsidRPr="00437E21">
        <w:rPr>
          <w:bCs/>
        </w:rPr>
        <w:t xml:space="preserve">Information </w:t>
      </w:r>
      <w:r w:rsidR="00E352EE">
        <w:rPr>
          <w:bCs/>
        </w:rPr>
        <w:t>regarding</w:t>
      </w:r>
      <w:r w:rsidR="00E352EE" w:rsidRPr="00437E21">
        <w:rPr>
          <w:bCs/>
        </w:rPr>
        <w:t xml:space="preserve"> the details of this agreement </w:t>
      </w:r>
      <w:r w:rsidR="00E352EE">
        <w:rPr>
          <w:bCs/>
        </w:rPr>
        <w:t>may be requested by members</w:t>
      </w:r>
      <w:r w:rsidR="00E352EE" w:rsidRPr="00437E21">
        <w:rPr>
          <w:bCs/>
        </w:rPr>
        <w:t xml:space="preserve"> of the public</w:t>
      </w:r>
      <w:r w:rsidR="00C523F9">
        <w:rPr>
          <w:bCs/>
        </w:rPr>
        <w:t xml:space="preserve"> under the Freedom of Information Act 2000</w:t>
      </w:r>
      <w:r w:rsidR="00E352EE" w:rsidRPr="00437E21">
        <w:rPr>
          <w:bCs/>
        </w:rPr>
        <w:t xml:space="preserve">.  </w:t>
      </w:r>
    </w:p>
    <w:p w14:paraId="3AE73557" w14:textId="77777777" w:rsidR="00CA5061" w:rsidRDefault="00CA5061" w:rsidP="00E352EE">
      <w:pPr>
        <w:pStyle w:val="BodyTextIndent"/>
        <w:spacing w:after="0"/>
        <w:ind w:left="0"/>
        <w:rPr>
          <w:bCs/>
        </w:rPr>
      </w:pPr>
    </w:p>
    <w:p w14:paraId="52F60F64" w14:textId="77777777" w:rsidR="00E352EE" w:rsidRPr="00BD6A72" w:rsidRDefault="00A237D3" w:rsidP="00E352EE">
      <w:pPr>
        <w:pStyle w:val="BodyTextIndent"/>
        <w:spacing w:after="0"/>
        <w:ind w:left="0"/>
        <w:rPr>
          <w:b/>
          <w:bCs/>
        </w:rPr>
      </w:pPr>
      <w:r>
        <w:rPr>
          <w:b/>
          <w:bCs/>
        </w:rPr>
        <w:t>13</w:t>
      </w:r>
      <w:r w:rsidR="00E352EE" w:rsidRPr="00BD6A72">
        <w:rPr>
          <w:b/>
          <w:bCs/>
        </w:rPr>
        <w:t>.</w:t>
      </w:r>
      <w:r w:rsidR="00E352EE" w:rsidRPr="00BD6A72">
        <w:rPr>
          <w:b/>
          <w:bCs/>
        </w:rPr>
        <w:tab/>
        <w:t>Fair Processing of Data</w:t>
      </w:r>
    </w:p>
    <w:p w14:paraId="44B93F6D" w14:textId="77777777" w:rsidR="00E352EE" w:rsidRDefault="00E352EE" w:rsidP="00E352EE">
      <w:pPr>
        <w:pStyle w:val="BodyTextIndent"/>
        <w:spacing w:after="0"/>
        <w:ind w:left="0"/>
        <w:rPr>
          <w:bCs/>
        </w:rPr>
      </w:pPr>
      <w:r>
        <w:rPr>
          <w:bCs/>
        </w:rPr>
        <w:t>Fair Processing notice to practices regarding the use of data will be displayed in the participa</w:t>
      </w:r>
      <w:r w:rsidR="00F86752">
        <w:rPr>
          <w:bCs/>
        </w:rPr>
        <w:t>ting practices as appropriate (</w:t>
      </w:r>
      <w:proofErr w:type="spellStart"/>
      <w:r w:rsidR="00F86752">
        <w:rPr>
          <w:bCs/>
        </w:rPr>
        <w:t>J</w:t>
      </w:r>
      <w:r>
        <w:rPr>
          <w:bCs/>
        </w:rPr>
        <w:t>ayex</w:t>
      </w:r>
      <w:proofErr w:type="spellEnd"/>
      <w:r>
        <w:rPr>
          <w:bCs/>
        </w:rPr>
        <w:t xml:space="preserve"> boards, display screens, notice boards) as part of the advertising of the scheme. </w:t>
      </w:r>
      <w:r w:rsidRPr="00C80C34">
        <w:rPr>
          <w:bCs/>
        </w:rPr>
        <w:t>Notices will also be visible within the hub</w:t>
      </w:r>
      <w:r>
        <w:rPr>
          <w:bCs/>
        </w:rPr>
        <w:t xml:space="preserve">. </w:t>
      </w:r>
      <w:r w:rsidRPr="00654293">
        <w:rPr>
          <w:bCs/>
        </w:rPr>
        <w:t xml:space="preserve"> </w:t>
      </w:r>
      <w:r w:rsidRPr="00437E21">
        <w:rPr>
          <w:bCs/>
        </w:rPr>
        <w:t xml:space="preserve">The practice may wish to upload this data sharing agreement to its practice website to inform the patients and public.  </w:t>
      </w:r>
    </w:p>
    <w:p w14:paraId="11C3191C" w14:textId="77777777" w:rsidR="00E352EE" w:rsidRDefault="00E352EE" w:rsidP="00E352EE">
      <w:pPr>
        <w:pStyle w:val="BodyTextIndent"/>
        <w:spacing w:after="0"/>
        <w:ind w:left="0"/>
        <w:rPr>
          <w:bCs/>
        </w:rPr>
      </w:pPr>
    </w:p>
    <w:p w14:paraId="04A6F8DA" w14:textId="77777777" w:rsidR="00CA5061" w:rsidRDefault="00A237D3" w:rsidP="00CA5061">
      <w:pPr>
        <w:pStyle w:val="BodyTextIndent"/>
        <w:spacing w:after="0"/>
        <w:ind w:left="0"/>
        <w:rPr>
          <w:b/>
          <w:bCs/>
        </w:rPr>
      </w:pPr>
      <w:r>
        <w:rPr>
          <w:b/>
          <w:bCs/>
        </w:rPr>
        <w:t>14</w:t>
      </w:r>
      <w:r w:rsidR="00CA5061">
        <w:rPr>
          <w:b/>
          <w:bCs/>
        </w:rPr>
        <w:t xml:space="preserve">. </w:t>
      </w:r>
      <w:r w:rsidR="00CA5061">
        <w:rPr>
          <w:b/>
          <w:bCs/>
        </w:rPr>
        <w:tab/>
        <w:t>Indemnity</w:t>
      </w:r>
    </w:p>
    <w:p w14:paraId="14A58715" w14:textId="77777777" w:rsidR="00C02870" w:rsidRPr="00CA5061" w:rsidRDefault="00C02870" w:rsidP="00CA5061">
      <w:pPr>
        <w:pStyle w:val="BodyTextIndent"/>
        <w:spacing w:after="0"/>
        <w:ind w:left="0"/>
        <w:rPr>
          <w:b/>
          <w:bCs/>
        </w:rPr>
      </w:pPr>
      <w:r w:rsidRPr="00C02870">
        <w:rPr>
          <w:rFonts w:asciiTheme="minorHAnsi" w:hAnsiTheme="minorHAnsi"/>
        </w:rPr>
        <w:t xml:space="preserve">Each partner will keep the Data Controller fully indemnified against any and all costs, expenses and claims arising out of any breach of this agreement and in particular, but without limitation, the unauthorised or unlawful access, loss, theft, use, destruction or disclosure by the offending partner or its sub-contractors, employees, agents or any other person within the control of the offending partner, of any data obtained in connection with this agreement.  </w:t>
      </w:r>
    </w:p>
    <w:p w14:paraId="2D3BF9D6" w14:textId="77777777" w:rsidR="00E352EE" w:rsidRDefault="00E352EE" w:rsidP="00E352EE">
      <w:pPr>
        <w:pStyle w:val="BodyTextIndent"/>
        <w:spacing w:after="0"/>
        <w:ind w:left="0"/>
        <w:rPr>
          <w:bCs/>
        </w:rPr>
      </w:pPr>
    </w:p>
    <w:p w14:paraId="70EC4BF9" w14:textId="77777777" w:rsidR="00CA5061" w:rsidRDefault="00A237D3" w:rsidP="00E352EE">
      <w:pPr>
        <w:pStyle w:val="BodyTextIndent"/>
        <w:spacing w:after="0"/>
        <w:ind w:left="0"/>
        <w:rPr>
          <w:b/>
          <w:bCs/>
        </w:rPr>
      </w:pPr>
      <w:r>
        <w:rPr>
          <w:b/>
          <w:bCs/>
        </w:rPr>
        <w:t>15</w:t>
      </w:r>
      <w:r w:rsidR="00C1376B" w:rsidRPr="004B0E8B">
        <w:rPr>
          <w:b/>
          <w:bCs/>
        </w:rPr>
        <w:t>.</w:t>
      </w:r>
      <w:r w:rsidR="00A5551B">
        <w:rPr>
          <w:b/>
          <w:bCs/>
        </w:rPr>
        <w:tab/>
      </w:r>
      <w:r w:rsidR="00C1376B" w:rsidRPr="004B0E8B">
        <w:rPr>
          <w:b/>
          <w:bCs/>
        </w:rPr>
        <w:t xml:space="preserve"> </w:t>
      </w:r>
      <w:r w:rsidR="002538C9" w:rsidRPr="004B0E8B">
        <w:rPr>
          <w:b/>
          <w:bCs/>
        </w:rPr>
        <w:t xml:space="preserve">Retention of Information </w:t>
      </w:r>
    </w:p>
    <w:p w14:paraId="342B895E" w14:textId="77777777" w:rsidR="00E352EE" w:rsidRDefault="00E352EE" w:rsidP="00E352EE">
      <w:pPr>
        <w:pStyle w:val="BodyTextIndent"/>
        <w:spacing w:after="0"/>
        <w:ind w:left="0"/>
        <w:rPr>
          <w:bCs/>
        </w:rPr>
      </w:pPr>
      <w:r>
        <w:rPr>
          <w:bCs/>
        </w:rPr>
        <w:t xml:space="preserve">GP practices will adhere to the NHS Records Management Code of Practice 2016 </w:t>
      </w:r>
      <w:r w:rsidR="00BA78D7">
        <w:rPr>
          <w:bCs/>
        </w:rPr>
        <w:t xml:space="preserve">– </w:t>
      </w:r>
      <w:hyperlink r:id="rId9" w:history="1">
        <w:r w:rsidRPr="00B34B49">
          <w:rPr>
            <w:rStyle w:val="Hyperlink"/>
            <w:rFonts w:ascii="Calibri" w:hAnsi="Calibri" w:cs="Arial"/>
            <w:bCs/>
            <w:sz w:val="22"/>
          </w:rPr>
          <w:t>http://systems.digital.nhs.uk/infogov/iga/rmcop16718.pdf</w:t>
        </w:r>
      </w:hyperlink>
    </w:p>
    <w:p w14:paraId="0541A302" w14:textId="77777777" w:rsidR="00D86445" w:rsidRDefault="00D86445">
      <w:pPr>
        <w:rPr>
          <w:rFonts w:ascii="Calibri" w:eastAsia="Times New Roman" w:hAnsi="Calibri" w:cs="Arial"/>
          <w:bCs/>
          <w:lang w:eastAsia="en-GB"/>
        </w:rPr>
      </w:pPr>
      <w:r>
        <w:rPr>
          <w:bCs/>
        </w:rPr>
        <w:br w:type="page"/>
      </w:r>
    </w:p>
    <w:p w14:paraId="42173E9F" w14:textId="77777777" w:rsidR="00D51617" w:rsidRPr="009F7444" w:rsidRDefault="00A237D3" w:rsidP="00B707CA">
      <w:pPr>
        <w:pStyle w:val="BodyTextIndent"/>
        <w:spacing w:after="0"/>
        <w:ind w:left="0"/>
        <w:rPr>
          <w:b/>
        </w:rPr>
      </w:pPr>
      <w:r>
        <w:rPr>
          <w:b/>
        </w:rPr>
        <w:lastRenderedPageBreak/>
        <w:t>16</w:t>
      </w:r>
      <w:r w:rsidR="00C1376B">
        <w:rPr>
          <w:b/>
        </w:rPr>
        <w:t xml:space="preserve">. </w:t>
      </w:r>
      <w:r w:rsidR="00D51617">
        <w:rPr>
          <w:b/>
        </w:rPr>
        <w:t>Signatories to this agreement</w:t>
      </w:r>
    </w:p>
    <w:p w14:paraId="10CA2AC3" w14:textId="77777777" w:rsidR="00E352EE" w:rsidRDefault="00E352EE" w:rsidP="00E352EE">
      <w:pPr>
        <w:pStyle w:val="BodyTextIndent"/>
        <w:spacing w:after="0"/>
        <w:ind w:left="0"/>
      </w:pPr>
      <w:r>
        <w:t xml:space="preserve">In order to participate in this data sharing agreement, the agreement </w:t>
      </w:r>
      <w:r w:rsidR="009123C2">
        <w:t>must</w:t>
      </w:r>
      <w:r>
        <w:t xml:space="preserve"> be signed by </w:t>
      </w:r>
      <w:r w:rsidR="0081261F">
        <w:t xml:space="preserve">the Practice Manager or a GP Partner from all </w:t>
      </w:r>
      <w:r w:rsidR="00DF7A9A">
        <w:rPr>
          <w:bCs/>
        </w:rPr>
        <w:t>S</w:t>
      </w:r>
      <w:r w:rsidR="003312F8">
        <w:rPr>
          <w:bCs/>
        </w:rPr>
        <w:t xml:space="preserve">outh </w:t>
      </w:r>
      <w:r w:rsidR="00DF7A9A">
        <w:rPr>
          <w:bCs/>
        </w:rPr>
        <w:t>S</w:t>
      </w:r>
      <w:r w:rsidR="00A8693A">
        <w:rPr>
          <w:bCs/>
        </w:rPr>
        <w:t>hropshire Medical</w:t>
      </w:r>
      <w:r w:rsidR="003312F8">
        <w:rPr>
          <w:bCs/>
        </w:rPr>
        <w:t xml:space="preserve"> Group</w:t>
      </w:r>
      <w:r w:rsidR="0081261F">
        <w:t xml:space="preserve"> Member practices</w:t>
      </w:r>
      <w:r>
        <w:t>.</w:t>
      </w:r>
    </w:p>
    <w:p w14:paraId="36D73BE1" w14:textId="77777777" w:rsidR="00156C4B" w:rsidRDefault="00E352EE" w:rsidP="00E352EE">
      <w:pPr>
        <w:pStyle w:val="BodyTextIndent"/>
        <w:spacing w:after="0"/>
        <w:ind w:left="0"/>
      </w:pPr>
      <w:r w:rsidRPr="009F7444">
        <w:t xml:space="preserve"> </w:t>
      </w:r>
    </w:p>
    <w:p w14:paraId="7A20F3B0" w14:textId="77777777" w:rsidR="00E352EE" w:rsidRPr="00A5551B" w:rsidRDefault="00E352EE" w:rsidP="00E352EE">
      <w:pPr>
        <w:rPr>
          <w:b/>
        </w:rPr>
      </w:pPr>
    </w:p>
    <w:tbl>
      <w:tblPr>
        <w:tblStyle w:val="TableGrid"/>
        <w:tblW w:w="0" w:type="auto"/>
        <w:tblLook w:val="04A0" w:firstRow="1" w:lastRow="0" w:firstColumn="1" w:lastColumn="0" w:noHBand="0" w:noVBand="1"/>
      </w:tblPr>
      <w:tblGrid>
        <w:gridCol w:w="2093"/>
        <w:gridCol w:w="7149"/>
      </w:tblGrid>
      <w:tr w:rsidR="00580591" w:rsidRPr="008B4B8D" w14:paraId="417D73D7" w14:textId="77777777" w:rsidTr="008105FC">
        <w:tc>
          <w:tcPr>
            <w:tcW w:w="2093" w:type="dxa"/>
          </w:tcPr>
          <w:p w14:paraId="5D3195AE" w14:textId="77777777" w:rsidR="00580591" w:rsidRPr="008B4B8D" w:rsidRDefault="00580591" w:rsidP="004F6241">
            <w:r w:rsidRPr="008B4B8D">
              <w:t>Name of Practice</w:t>
            </w:r>
          </w:p>
        </w:tc>
        <w:tc>
          <w:tcPr>
            <w:tcW w:w="7149" w:type="dxa"/>
          </w:tcPr>
          <w:p w14:paraId="52482008" w14:textId="77777777" w:rsidR="00580591" w:rsidRDefault="00580591" w:rsidP="004F6241"/>
          <w:p w14:paraId="3401BB5B" w14:textId="77777777" w:rsidR="0081261F" w:rsidRPr="008B4B8D" w:rsidRDefault="0081261F" w:rsidP="004F6241"/>
        </w:tc>
      </w:tr>
      <w:tr w:rsidR="00580591" w:rsidRPr="008B4B8D" w14:paraId="4C7C1C96" w14:textId="77777777" w:rsidTr="008105FC">
        <w:tc>
          <w:tcPr>
            <w:tcW w:w="2093" w:type="dxa"/>
          </w:tcPr>
          <w:p w14:paraId="04D1DA86" w14:textId="77777777" w:rsidR="00580591" w:rsidRPr="008B4B8D" w:rsidRDefault="00580591" w:rsidP="004F6241">
            <w:r w:rsidRPr="008B4B8D">
              <w:t>Address</w:t>
            </w:r>
          </w:p>
        </w:tc>
        <w:tc>
          <w:tcPr>
            <w:tcW w:w="7149" w:type="dxa"/>
          </w:tcPr>
          <w:p w14:paraId="01B8EAE0" w14:textId="77777777" w:rsidR="00580591" w:rsidRDefault="00580591" w:rsidP="004F6241"/>
          <w:p w14:paraId="2E173C96" w14:textId="77777777" w:rsidR="0081261F" w:rsidRPr="008B4B8D" w:rsidRDefault="0081261F" w:rsidP="004F6241"/>
        </w:tc>
      </w:tr>
      <w:tr w:rsidR="00580591" w:rsidRPr="008B4B8D" w14:paraId="58E704E4" w14:textId="77777777" w:rsidTr="008105FC">
        <w:tc>
          <w:tcPr>
            <w:tcW w:w="2093" w:type="dxa"/>
          </w:tcPr>
          <w:p w14:paraId="50618C05" w14:textId="77777777" w:rsidR="00580591" w:rsidRPr="008B4B8D" w:rsidRDefault="0081261F" w:rsidP="004F6241">
            <w:r>
              <w:t>Signature</w:t>
            </w:r>
          </w:p>
        </w:tc>
        <w:tc>
          <w:tcPr>
            <w:tcW w:w="7149" w:type="dxa"/>
          </w:tcPr>
          <w:p w14:paraId="49457A60" w14:textId="77777777" w:rsidR="00580591" w:rsidRDefault="00580591" w:rsidP="004F6241"/>
          <w:p w14:paraId="0974978F" w14:textId="77777777" w:rsidR="0081261F" w:rsidRPr="008B4B8D" w:rsidRDefault="0081261F" w:rsidP="004F6241"/>
        </w:tc>
      </w:tr>
      <w:tr w:rsidR="00580591" w:rsidRPr="008B4B8D" w14:paraId="0D974F63" w14:textId="77777777" w:rsidTr="008105FC">
        <w:tc>
          <w:tcPr>
            <w:tcW w:w="2093" w:type="dxa"/>
          </w:tcPr>
          <w:p w14:paraId="31B384A8" w14:textId="77777777" w:rsidR="00580591" w:rsidRPr="008B4B8D" w:rsidRDefault="0081261F" w:rsidP="004F6241">
            <w:r>
              <w:t>Name &amp; Role</w:t>
            </w:r>
          </w:p>
        </w:tc>
        <w:tc>
          <w:tcPr>
            <w:tcW w:w="7149" w:type="dxa"/>
          </w:tcPr>
          <w:p w14:paraId="4EF4F51A" w14:textId="77777777" w:rsidR="00580591" w:rsidRDefault="00580591" w:rsidP="004F6241"/>
          <w:p w14:paraId="266BB8A5" w14:textId="77777777" w:rsidR="0081261F" w:rsidRPr="008B4B8D" w:rsidRDefault="0081261F" w:rsidP="004F6241"/>
        </w:tc>
      </w:tr>
      <w:tr w:rsidR="00580591" w:rsidRPr="008B4B8D" w14:paraId="7231F797" w14:textId="77777777" w:rsidTr="00580591">
        <w:tc>
          <w:tcPr>
            <w:tcW w:w="2093" w:type="dxa"/>
          </w:tcPr>
          <w:p w14:paraId="00CD3A59" w14:textId="77777777" w:rsidR="00580591" w:rsidRDefault="00580591" w:rsidP="004F6241">
            <w:r>
              <w:t>Date</w:t>
            </w:r>
          </w:p>
          <w:p w14:paraId="5C441058" w14:textId="77777777" w:rsidR="0081261F" w:rsidRPr="008B4B8D" w:rsidRDefault="0081261F" w:rsidP="004F6241"/>
        </w:tc>
        <w:tc>
          <w:tcPr>
            <w:tcW w:w="7149" w:type="dxa"/>
          </w:tcPr>
          <w:p w14:paraId="3A33D9A9" w14:textId="77777777" w:rsidR="00580591" w:rsidRPr="008B4B8D" w:rsidRDefault="00580591" w:rsidP="004F6241"/>
        </w:tc>
      </w:tr>
    </w:tbl>
    <w:p w14:paraId="01F45BD6" w14:textId="77777777" w:rsidR="00580591" w:rsidRDefault="00580591" w:rsidP="00E352EE"/>
    <w:p w14:paraId="1673DD83" w14:textId="77777777" w:rsidR="00E352EE" w:rsidRDefault="00E352EE" w:rsidP="00E352EE"/>
    <w:p w14:paraId="7605A9FB" w14:textId="77777777" w:rsidR="00E352EE" w:rsidRDefault="00E352EE" w:rsidP="00E352EE"/>
    <w:p w14:paraId="5256E649" w14:textId="77777777" w:rsidR="00E352EE" w:rsidRDefault="00E352EE" w:rsidP="00E352EE"/>
    <w:p w14:paraId="6ACD7222" w14:textId="77777777" w:rsidR="00E352EE" w:rsidRDefault="00E352EE" w:rsidP="00E352EE"/>
    <w:p w14:paraId="66A0669B" w14:textId="77777777" w:rsidR="00E352EE" w:rsidRDefault="00E352EE" w:rsidP="00E352EE"/>
    <w:p w14:paraId="328D23A6" w14:textId="77777777" w:rsidR="00E352EE" w:rsidRDefault="00E352EE" w:rsidP="00E352EE"/>
    <w:p w14:paraId="6B9D5AE3" w14:textId="77777777" w:rsidR="00E352EE" w:rsidRDefault="00E352EE" w:rsidP="00E352EE"/>
    <w:p w14:paraId="0EB4B087" w14:textId="77777777" w:rsidR="00E352EE" w:rsidRDefault="00E352EE" w:rsidP="00E352EE"/>
    <w:p w14:paraId="44E4DA79" w14:textId="77777777" w:rsidR="00041BDE" w:rsidRDefault="00041BDE" w:rsidP="00E352EE">
      <w:pPr>
        <w:rPr>
          <w:b/>
        </w:rPr>
      </w:pPr>
    </w:p>
    <w:p w14:paraId="1A9E2CF9" w14:textId="77777777" w:rsidR="00041BDE" w:rsidRDefault="00041BDE" w:rsidP="00E352EE">
      <w:pPr>
        <w:rPr>
          <w:b/>
        </w:rPr>
      </w:pPr>
    </w:p>
    <w:p w14:paraId="41301E34" w14:textId="77777777" w:rsidR="00041BDE" w:rsidRDefault="00041BDE" w:rsidP="00E352EE">
      <w:pPr>
        <w:rPr>
          <w:b/>
        </w:rPr>
      </w:pPr>
    </w:p>
    <w:p w14:paraId="6E03913F" w14:textId="77777777" w:rsidR="00041BDE" w:rsidRDefault="00041BDE" w:rsidP="00E352EE">
      <w:pPr>
        <w:rPr>
          <w:b/>
        </w:rPr>
      </w:pPr>
    </w:p>
    <w:p w14:paraId="19E80E5B" w14:textId="77777777" w:rsidR="00041BDE" w:rsidRDefault="00041BDE" w:rsidP="00E352EE">
      <w:pPr>
        <w:rPr>
          <w:b/>
        </w:rPr>
      </w:pPr>
    </w:p>
    <w:p w14:paraId="767B8542" w14:textId="77777777" w:rsidR="00041BDE" w:rsidRDefault="00041BDE" w:rsidP="00E352EE">
      <w:pPr>
        <w:rPr>
          <w:b/>
        </w:rPr>
      </w:pPr>
    </w:p>
    <w:p w14:paraId="7BB42AC3" w14:textId="77777777" w:rsidR="008105FC" w:rsidRDefault="008105FC">
      <w:pPr>
        <w:rPr>
          <w:rFonts w:ascii="Calibri" w:eastAsia="Times New Roman" w:hAnsi="Calibri" w:cs="Arial"/>
          <w:b/>
          <w:lang w:eastAsia="en-GB"/>
        </w:rPr>
      </w:pPr>
      <w:r>
        <w:rPr>
          <w:b/>
        </w:rPr>
        <w:br w:type="page"/>
      </w:r>
    </w:p>
    <w:p w14:paraId="49D9695C" w14:textId="77777777" w:rsidR="00041BDE" w:rsidRDefault="00041BDE" w:rsidP="004F2BB5">
      <w:pPr>
        <w:pStyle w:val="BodyTextIndent"/>
        <w:suppressAutoHyphens/>
        <w:spacing w:after="0"/>
        <w:ind w:left="0"/>
        <w:rPr>
          <w:b/>
          <w:u w:val="single"/>
        </w:rPr>
      </w:pPr>
      <w:r w:rsidRPr="00770D9C">
        <w:rPr>
          <w:b/>
          <w:u w:val="single"/>
        </w:rPr>
        <w:lastRenderedPageBreak/>
        <w:t xml:space="preserve">Appendix A </w:t>
      </w:r>
      <w:r w:rsidR="007F57C1" w:rsidRPr="00770D9C">
        <w:rPr>
          <w:b/>
          <w:u w:val="single"/>
        </w:rPr>
        <w:t xml:space="preserve">– Parties to the Agreement </w:t>
      </w:r>
    </w:p>
    <w:p w14:paraId="34ABC544" w14:textId="77777777" w:rsidR="00E60DCB" w:rsidRDefault="00E60DCB" w:rsidP="004F2BB5">
      <w:pPr>
        <w:pStyle w:val="BodyTextIndent"/>
        <w:suppressAutoHyphens/>
        <w:spacing w:after="0"/>
        <w:ind w:left="0"/>
        <w:rPr>
          <w:b/>
          <w:u w:val="single"/>
        </w:rPr>
      </w:pPr>
    </w:p>
    <w:p w14:paraId="3CBB892F" w14:textId="77777777" w:rsidR="00E60DCB" w:rsidRDefault="00E60DCB" w:rsidP="004F2BB5">
      <w:pPr>
        <w:pStyle w:val="BodyTextIndent"/>
        <w:suppressAutoHyphens/>
        <w:spacing w:after="0"/>
        <w:ind w:left="0"/>
        <w:rPr>
          <w:b/>
          <w:u w:val="single"/>
        </w:rPr>
      </w:pPr>
    </w:p>
    <w:p w14:paraId="018AB4DB" w14:textId="77777777" w:rsidR="004F2BB5" w:rsidRPr="004F2BB5" w:rsidRDefault="004F2BB5" w:rsidP="004F2BB5">
      <w:pPr>
        <w:pStyle w:val="BodyTextIndent"/>
        <w:suppressAutoHyphens/>
        <w:spacing w:after="0"/>
        <w:ind w:left="0"/>
        <w:rPr>
          <w:b/>
          <w:u w:val="single"/>
        </w:rPr>
      </w:pPr>
    </w:p>
    <w:tbl>
      <w:tblPr>
        <w:tblW w:w="3559" w:type="dxa"/>
        <w:tblInd w:w="93" w:type="dxa"/>
        <w:tblLayout w:type="fixed"/>
        <w:tblLook w:val="04A0" w:firstRow="1" w:lastRow="0" w:firstColumn="1" w:lastColumn="0" w:noHBand="0" w:noVBand="1"/>
      </w:tblPr>
      <w:tblGrid>
        <w:gridCol w:w="3559"/>
      </w:tblGrid>
      <w:tr w:rsidR="009C512B" w:rsidRPr="009230CD" w14:paraId="1898CCD3" w14:textId="77777777" w:rsidTr="009C512B">
        <w:trPr>
          <w:trHeight w:val="280"/>
        </w:trPr>
        <w:tc>
          <w:tcPr>
            <w:tcW w:w="3559" w:type="dxa"/>
            <w:tcBorders>
              <w:top w:val="single" w:sz="4" w:space="0" w:color="auto"/>
              <w:left w:val="single" w:sz="8" w:space="0" w:color="auto"/>
              <w:bottom w:val="single" w:sz="4" w:space="0" w:color="auto"/>
              <w:right w:val="single" w:sz="8" w:space="0" w:color="auto"/>
            </w:tcBorders>
            <w:vAlign w:val="bottom"/>
          </w:tcPr>
          <w:p w14:paraId="26E41BA4" w14:textId="77777777" w:rsidR="009C512B" w:rsidRPr="009230CD" w:rsidRDefault="009C512B" w:rsidP="001B7733">
            <w:pPr>
              <w:jc w:val="center"/>
              <w:rPr>
                <w:rFonts w:ascii="Calibri" w:eastAsia="Times New Roman" w:hAnsi="Calibri"/>
                <w:color w:val="000000"/>
              </w:rPr>
            </w:pPr>
            <w:r>
              <w:rPr>
                <w:rFonts w:ascii="Calibri" w:eastAsia="Times New Roman" w:hAnsi="Calibri"/>
                <w:color w:val="000000"/>
              </w:rPr>
              <w:t>Practice Name</w:t>
            </w:r>
          </w:p>
        </w:tc>
      </w:tr>
      <w:tr w:rsidR="009C512B" w:rsidRPr="009230CD" w14:paraId="1D05B121" w14:textId="77777777" w:rsidTr="009C512B">
        <w:trPr>
          <w:trHeight w:val="509"/>
        </w:trPr>
        <w:tc>
          <w:tcPr>
            <w:tcW w:w="3559" w:type="dxa"/>
            <w:vMerge w:val="restart"/>
            <w:tcBorders>
              <w:top w:val="single" w:sz="4" w:space="0" w:color="auto"/>
              <w:left w:val="single" w:sz="8" w:space="0" w:color="auto"/>
              <w:right w:val="single" w:sz="8" w:space="0" w:color="auto"/>
            </w:tcBorders>
            <w:vAlign w:val="bottom"/>
          </w:tcPr>
          <w:p w14:paraId="656F45AB" w14:textId="77777777" w:rsidR="009C512B" w:rsidRPr="009230CD" w:rsidRDefault="009C512B" w:rsidP="001B7733">
            <w:pPr>
              <w:jc w:val="center"/>
              <w:rPr>
                <w:rFonts w:ascii="Calibri" w:eastAsia="Times New Roman" w:hAnsi="Calibri"/>
                <w:color w:val="000000"/>
              </w:rPr>
            </w:pPr>
            <w:proofErr w:type="spellStart"/>
            <w:r w:rsidRPr="009230CD">
              <w:rPr>
                <w:rFonts w:ascii="Calibri" w:eastAsia="Times New Roman" w:hAnsi="Calibri"/>
                <w:color w:val="000000"/>
              </w:rPr>
              <w:t>Albrighton</w:t>
            </w:r>
            <w:proofErr w:type="spellEnd"/>
            <w:r w:rsidRPr="009230CD">
              <w:rPr>
                <w:rFonts w:ascii="Calibri" w:eastAsia="Times New Roman" w:hAnsi="Calibri"/>
                <w:color w:val="000000"/>
              </w:rPr>
              <w:t xml:space="preserve"> Medical Practice</w:t>
            </w:r>
          </w:p>
        </w:tc>
      </w:tr>
      <w:tr w:rsidR="009C512B" w:rsidRPr="009230CD" w14:paraId="4021FADE" w14:textId="77777777" w:rsidTr="009C512B">
        <w:trPr>
          <w:trHeight w:val="509"/>
        </w:trPr>
        <w:tc>
          <w:tcPr>
            <w:tcW w:w="3559" w:type="dxa"/>
            <w:vMerge/>
            <w:tcBorders>
              <w:left w:val="single" w:sz="8" w:space="0" w:color="auto"/>
              <w:right w:val="single" w:sz="8" w:space="0" w:color="auto"/>
            </w:tcBorders>
            <w:vAlign w:val="bottom"/>
          </w:tcPr>
          <w:p w14:paraId="1BA90B37" w14:textId="77777777" w:rsidR="009C512B" w:rsidRPr="009230CD" w:rsidRDefault="009C512B" w:rsidP="001B7733">
            <w:pPr>
              <w:jc w:val="center"/>
              <w:rPr>
                <w:rFonts w:ascii="Calibri" w:eastAsia="Times New Roman" w:hAnsi="Calibri"/>
                <w:color w:val="000000"/>
              </w:rPr>
            </w:pPr>
          </w:p>
        </w:tc>
      </w:tr>
      <w:tr w:rsidR="009C512B" w:rsidRPr="009230CD" w14:paraId="28DD4970"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49B91B67" w14:textId="77777777" w:rsidR="009C512B" w:rsidRPr="009230CD" w:rsidRDefault="009C512B" w:rsidP="001B7733">
            <w:pPr>
              <w:jc w:val="center"/>
              <w:rPr>
                <w:rFonts w:ascii="Calibri" w:eastAsia="Times New Roman" w:hAnsi="Calibri"/>
                <w:color w:val="000000"/>
              </w:rPr>
            </w:pPr>
          </w:p>
        </w:tc>
      </w:tr>
      <w:tr w:rsidR="009C512B" w:rsidRPr="009230CD" w14:paraId="735308D0" w14:textId="77777777" w:rsidTr="009C512B">
        <w:trPr>
          <w:trHeight w:val="509"/>
        </w:trPr>
        <w:tc>
          <w:tcPr>
            <w:tcW w:w="3559" w:type="dxa"/>
            <w:vMerge w:val="restart"/>
            <w:tcBorders>
              <w:top w:val="nil"/>
              <w:left w:val="single" w:sz="8" w:space="0" w:color="auto"/>
              <w:right w:val="single" w:sz="8" w:space="0" w:color="auto"/>
            </w:tcBorders>
            <w:vAlign w:val="bottom"/>
          </w:tcPr>
          <w:p w14:paraId="44A8ADD4" w14:textId="77777777" w:rsidR="009C512B" w:rsidRPr="009230CD" w:rsidRDefault="009C512B" w:rsidP="001B7733">
            <w:pPr>
              <w:jc w:val="center"/>
              <w:rPr>
                <w:rFonts w:ascii="Calibri" w:eastAsia="Times New Roman" w:hAnsi="Calibri"/>
                <w:color w:val="000000"/>
              </w:rPr>
            </w:pPr>
            <w:proofErr w:type="spellStart"/>
            <w:r w:rsidRPr="009230CD">
              <w:rPr>
                <w:rFonts w:ascii="Calibri" w:eastAsia="Times New Roman" w:hAnsi="Calibri"/>
                <w:color w:val="000000"/>
              </w:rPr>
              <w:t>Alveley</w:t>
            </w:r>
            <w:proofErr w:type="spellEnd"/>
            <w:r w:rsidRPr="009230CD">
              <w:rPr>
                <w:rFonts w:ascii="Calibri" w:eastAsia="Times New Roman" w:hAnsi="Calibri"/>
                <w:color w:val="000000"/>
              </w:rPr>
              <w:t xml:space="preserve"> Medical Practice</w:t>
            </w:r>
          </w:p>
        </w:tc>
      </w:tr>
      <w:tr w:rsidR="009C512B" w:rsidRPr="009230CD" w14:paraId="2AAC8481" w14:textId="77777777" w:rsidTr="009C512B">
        <w:trPr>
          <w:trHeight w:val="509"/>
        </w:trPr>
        <w:tc>
          <w:tcPr>
            <w:tcW w:w="3559" w:type="dxa"/>
            <w:vMerge/>
            <w:tcBorders>
              <w:left w:val="single" w:sz="8" w:space="0" w:color="auto"/>
              <w:right w:val="single" w:sz="8" w:space="0" w:color="auto"/>
            </w:tcBorders>
            <w:vAlign w:val="bottom"/>
          </w:tcPr>
          <w:p w14:paraId="56BA3A17" w14:textId="77777777" w:rsidR="009C512B" w:rsidRPr="009230CD" w:rsidRDefault="009C512B" w:rsidP="001B7733">
            <w:pPr>
              <w:jc w:val="center"/>
              <w:rPr>
                <w:rFonts w:ascii="Calibri" w:eastAsia="Times New Roman" w:hAnsi="Calibri"/>
                <w:color w:val="000000"/>
              </w:rPr>
            </w:pPr>
          </w:p>
        </w:tc>
      </w:tr>
      <w:tr w:rsidR="009C512B" w:rsidRPr="009230CD" w14:paraId="007063AC"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13CE5085" w14:textId="77777777" w:rsidR="009C512B" w:rsidRPr="009230CD" w:rsidRDefault="009C512B" w:rsidP="001B7733">
            <w:pPr>
              <w:jc w:val="center"/>
              <w:rPr>
                <w:rFonts w:ascii="Calibri" w:eastAsia="Times New Roman" w:hAnsi="Calibri"/>
                <w:color w:val="000000"/>
              </w:rPr>
            </w:pPr>
          </w:p>
        </w:tc>
      </w:tr>
      <w:tr w:rsidR="009C512B" w:rsidRPr="009230CD" w14:paraId="7B7FE407" w14:textId="77777777" w:rsidTr="009C512B">
        <w:trPr>
          <w:trHeight w:val="509"/>
        </w:trPr>
        <w:tc>
          <w:tcPr>
            <w:tcW w:w="3559" w:type="dxa"/>
            <w:vMerge w:val="restart"/>
            <w:tcBorders>
              <w:top w:val="nil"/>
              <w:left w:val="single" w:sz="8" w:space="0" w:color="auto"/>
              <w:right w:val="single" w:sz="8" w:space="0" w:color="auto"/>
            </w:tcBorders>
            <w:vAlign w:val="bottom"/>
          </w:tcPr>
          <w:p w14:paraId="5D1477ED" w14:textId="77777777" w:rsidR="009C512B" w:rsidRPr="009230CD" w:rsidRDefault="009C512B" w:rsidP="001B7733">
            <w:pPr>
              <w:jc w:val="center"/>
              <w:rPr>
                <w:rFonts w:ascii="Calibri" w:eastAsia="Times New Roman" w:hAnsi="Calibri"/>
                <w:color w:val="000000"/>
              </w:rPr>
            </w:pPr>
            <w:r w:rsidRPr="009230CD">
              <w:rPr>
                <w:rFonts w:ascii="Calibri" w:eastAsia="Times New Roman" w:hAnsi="Calibri"/>
                <w:color w:val="000000"/>
              </w:rPr>
              <w:t>Bishops Castle Medical Practice</w:t>
            </w:r>
          </w:p>
        </w:tc>
      </w:tr>
      <w:tr w:rsidR="009C512B" w:rsidRPr="009230CD" w14:paraId="14D7BE22" w14:textId="77777777" w:rsidTr="009C512B">
        <w:trPr>
          <w:trHeight w:val="509"/>
        </w:trPr>
        <w:tc>
          <w:tcPr>
            <w:tcW w:w="3559" w:type="dxa"/>
            <w:vMerge/>
            <w:tcBorders>
              <w:left w:val="single" w:sz="8" w:space="0" w:color="auto"/>
              <w:right w:val="single" w:sz="8" w:space="0" w:color="auto"/>
            </w:tcBorders>
            <w:vAlign w:val="bottom"/>
          </w:tcPr>
          <w:p w14:paraId="03A472E5" w14:textId="77777777" w:rsidR="009C512B" w:rsidRPr="009230CD" w:rsidRDefault="009C512B" w:rsidP="001B7733">
            <w:pPr>
              <w:jc w:val="center"/>
              <w:rPr>
                <w:rFonts w:ascii="Calibri" w:eastAsia="Times New Roman" w:hAnsi="Calibri"/>
                <w:color w:val="000000"/>
              </w:rPr>
            </w:pPr>
          </w:p>
        </w:tc>
      </w:tr>
      <w:tr w:rsidR="009C512B" w:rsidRPr="009230CD" w14:paraId="74875004"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7E01C612" w14:textId="77777777" w:rsidR="009C512B" w:rsidRPr="009230CD" w:rsidRDefault="009C512B" w:rsidP="001B7733">
            <w:pPr>
              <w:jc w:val="center"/>
              <w:rPr>
                <w:rFonts w:ascii="Calibri" w:eastAsia="Times New Roman" w:hAnsi="Calibri"/>
                <w:color w:val="000000"/>
              </w:rPr>
            </w:pPr>
          </w:p>
        </w:tc>
      </w:tr>
      <w:tr w:rsidR="009C512B" w:rsidRPr="009230CD" w14:paraId="7EDB6292" w14:textId="77777777" w:rsidTr="009C512B">
        <w:trPr>
          <w:trHeight w:val="509"/>
        </w:trPr>
        <w:tc>
          <w:tcPr>
            <w:tcW w:w="3559" w:type="dxa"/>
            <w:vMerge w:val="restart"/>
            <w:tcBorders>
              <w:top w:val="nil"/>
              <w:left w:val="single" w:sz="8" w:space="0" w:color="auto"/>
              <w:right w:val="single" w:sz="8" w:space="0" w:color="auto"/>
            </w:tcBorders>
            <w:vAlign w:val="bottom"/>
          </w:tcPr>
          <w:p w14:paraId="04CD49CE" w14:textId="77777777" w:rsidR="009C512B" w:rsidRPr="009230CD" w:rsidRDefault="009C512B" w:rsidP="001B7733">
            <w:pPr>
              <w:jc w:val="center"/>
              <w:rPr>
                <w:rFonts w:ascii="Calibri" w:eastAsia="Times New Roman" w:hAnsi="Calibri"/>
                <w:color w:val="000000"/>
              </w:rPr>
            </w:pPr>
            <w:proofErr w:type="spellStart"/>
            <w:r w:rsidRPr="009230CD">
              <w:rPr>
                <w:rFonts w:ascii="Calibri" w:eastAsia="Times New Roman" w:hAnsi="Calibri"/>
                <w:color w:val="000000"/>
              </w:rPr>
              <w:t>Bridgnorth</w:t>
            </w:r>
            <w:proofErr w:type="spellEnd"/>
            <w:r w:rsidRPr="009230CD">
              <w:rPr>
                <w:rFonts w:ascii="Calibri" w:eastAsia="Times New Roman" w:hAnsi="Calibri"/>
                <w:color w:val="000000"/>
              </w:rPr>
              <w:t xml:space="preserve"> Medical Practice</w:t>
            </w:r>
          </w:p>
        </w:tc>
      </w:tr>
      <w:tr w:rsidR="009C512B" w:rsidRPr="009230CD" w14:paraId="60E24DEF" w14:textId="77777777" w:rsidTr="009C512B">
        <w:trPr>
          <w:trHeight w:val="509"/>
        </w:trPr>
        <w:tc>
          <w:tcPr>
            <w:tcW w:w="3559" w:type="dxa"/>
            <w:vMerge/>
            <w:tcBorders>
              <w:left w:val="single" w:sz="8" w:space="0" w:color="auto"/>
              <w:right w:val="single" w:sz="8" w:space="0" w:color="auto"/>
            </w:tcBorders>
            <w:vAlign w:val="bottom"/>
          </w:tcPr>
          <w:p w14:paraId="50A2AF39" w14:textId="77777777" w:rsidR="009C512B" w:rsidRPr="009230CD" w:rsidRDefault="009C512B" w:rsidP="001B7733">
            <w:pPr>
              <w:jc w:val="center"/>
              <w:rPr>
                <w:rFonts w:ascii="Calibri" w:eastAsia="Times New Roman" w:hAnsi="Calibri"/>
                <w:color w:val="000000"/>
              </w:rPr>
            </w:pPr>
          </w:p>
        </w:tc>
      </w:tr>
      <w:tr w:rsidR="009C512B" w:rsidRPr="009230CD" w14:paraId="2BBB2B96"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518E0944" w14:textId="77777777" w:rsidR="009C512B" w:rsidRPr="009230CD" w:rsidRDefault="009C512B" w:rsidP="001B7733">
            <w:pPr>
              <w:jc w:val="center"/>
              <w:rPr>
                <w:rFonts w:ascii="Calibri" w:eastAsia="Times New Roman" w:hAnsi="Calibri"/>
                <w:color w:val="000000"/>
              </w:rPr>
            </w:pPr>
          </w:p>
        </w:tc>
      </w:tr>
      <w:tr w:rsidR="009C512B" w:rsidRPr="009230CD" w14:paraId="3D0D102F" w14:textId="77777777" w:rsidTr="009C512B">
        <w:trPr>
          <w:trHeight w:val="509"/>
        </w:trPr>
        <w:tc>
          <w:tcPr>
            <w:tcW w:w="3559" w:type="dxa"/>
            <w:vMerge w:val="restart"/>
            <w:tcBorders>
              <w:top w:val="nil"/>
              <w:left w:val="single" w:sz="8" w:space="0" w:color="auto"/>
              <w:right w:val="single" w:sz="8" w:space="0" w:color="auto"/>
            </w:tcBorders>
            <w:vAlign w:val="bottom"/>
          </w:tcPr>
          <w:p w14:paraId="4AB9C7FD" w14:textId="77777777" w:rsidR="009C512B" w:rsidRPr="009230CD" w:rsidRDefault="009C512B" w:rsidP="001B7733">
            <w:pPr>
              <w:jc w:val="center"/>
              <w:rPr>
                <w:rFonts w:ascii="Calibri" w:eastAsia="Times New Roman" w:hAnsi="Calibri"/>
                <w:color w:val="000000"/>
              </w:rPr>
            </w:pPr>
            <w:proofErr w:type="spellStart"/>
            <w:r w:rsidRPr="009230CD">
              <w:rPr>
                <w:rFonts w:ascii="Calibri" w:eastAsia="Times New Roman" w:hAnsi="Calibri"/>
                <w:color w:val="000000"/>
              </w:rPr>
              <w:t>Broseley</w:t>
            </w:r>
            <w:proofErr w:type="spellEnd"/>
            <w:r w:rsidRPr="009230CD">
              <w:rPr>
                <w:rFonts w:ascii="Calibri" w:eastAsia="Times New Roman" w:hAnsi="Calibri"/>
                <w:color w:val="000000"/>
              </w:rPr>
              <w:t xml:space="preserve"> Medical Practice</w:t>
            </w:r>
          </w:p>
        </w:tc>
      </w:tr>
      <w:tr w:rsidR="009C512B" w:rsidRPr="009230CD" w14:paraId="35941BC5"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69F71F4E" w14:textId="77777777" w:rsidR="009C512B" w:rsidRPr="009230CD" w:rsidRDefault="009C512B" w:rsidP="001B7733">
            <w:pPr>
              <w:jc w:val="center"/>
              <w:rPr>
                <w:rFonts w:ascii="Calibri" w:eastAsia="Times New Roman" w:hAnsi="Calibri"/>
                <w:color w:val="000000"/>
              </w:rPr>
            </w:pPr>
          </w:p>
        </w:tc>
      </w:tr>
      <w:tr w:rsidR="009C512B" w:rsidRPr="009230CD" w14:paraId="42CA2208" w14:textId="77777777" w:rsidTr="009C512B">
        <w:trPr>
          <w:trHeight w:val="509"/>
        </w:trPr>
        <w:tc>
          <w:tcPr>
            <w:tcW w:w="3559" w:type="dxa"/>
            <w:vMerge w:val="restart"/>
            <w:tcBorders>
              <w:top w:val="nil"/>
              <w:left w:val="single" w:sz="8" w:space="0" w:color="auto"/>
              <w:right w:val="single" w:sz="8" w:space="0" w:color="auto"/>
            </w:tcBorders>
            <w:vAlign w:val="bottom"/>
          </w:tcPr>
          <w:p w14:paraId="51F59BE7" w14:textId="77777777" w:rsidR="009C512B" w:rsidRPr="009230CD" w:rsidRDefault="009C512B" w:rsidP="001B7733">
            <w:pPr>
              <w:jc w:val="center"/>
              <w:rPr>
                <w:rFonts w:ascii="Calibri" w:eastAsia="Times New Roman" w:hAnsi="Calibri"/>
                <w:color w:val="000000"/>
              </w:rPr>
            </w:pPr>
            <w:r w:rsidRPr="009230CD">
              <w:rPr>
                <w:rFonts w:ascii="Calibri" w:eastAsia="Times New Roman" w:hAnsi="Calibri"/>
                <w:color w:val="000000"/>
              </w:rPr>
              <w:t xml:space="preserve">Brown </w:t>
            </w:r>
            <w:proofErr w:type="spellStart"/>
            <w:r w:rsidRPr="009230CD">
              <w:rPr>
                <w:rFonts w:ascii="Calibri" w:eastAsia="Times New Roman" w:hAnsi="Calibri"/>
                <w:color w:val="000000"/>
              </w:rPr>
              <w:t>Clee</w:t>
            </w:r>
            <w:proofErr w:type="spellEnd"/>
            <w:r w:rsidRPr="009230CD">
              <w:rPr>
                <w:rFonts w:ascii="Calibri" w:eastAsia="Times New Roman" w:hAnsi="Calibri"/>
                <w:color w:val="000000"/>
              </w:rPr>
              <w:t xml:space="preserve"> Medical Practice</w:t>
            </w:r>
          </w:p>
        </w:tc>
      </w:tr>
      <w:tr w:rsidR="009C512B" w:rsidRPr="009230CD" w14:paraId="2F9A532A"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0FF71242" w14:textId="77777777" w:rsidR="009C512B" w:rsidRPr="009230CD" w:rsidRDefault="009C512B" w:rsidP="001B7733">
            <w:pPr>
              <w:jc w:val="center"/>
              <w:rPr>
                <w:rFonts w:ascii="Calibri" w:eastAsia="Times New Roman" w:hAnsi="Calibri"/>
                <w:color w:val="000000"/>
              </w:rPr>
            </w:pPr>
          </w:p>
        </w:tc>
      </w:tr>
      <w:tr w:rsidR="009C512B" w:rsidRPr="009230CD" w14:paraId="2F2F1202" w14:textId="77777777" w:rsidTr="009C512B">
        <w:trPr>
          <w:trHeight w:val="509"/>
        </w:trPr>
        <w:tc>
          <w:tcPr>
            <w:tcW w:w="3559" w:type="dxa"/>
            <w:vMerge w:val="restart"/>
            <w:tcBorders>
              <w:top w:val="nil"/>
              <w:left w:val="single" w:sz="8" w:space="0" w:color="auto"/>
              <w:right w:val="single" w:sz="8" w:space="0" w:color="auto"/>
            </w:tcBorders>
            <w:vAlign w:val="bottom"/>
          </w:tcPr>
          <w:p w14:paraId="01E19031" w14:textId="77777777" w:rsidR="009C512B" w:rsidRPr="009230CD" w:rsidRDefault="009C512B" w:rsidP="001B7733">
            <w:pPr>
              <w:jc w:val="center"/>
              <w:rPr>
                <w:rFonts w:ascii="Calibri" w:eastAsia="Times New Roman" w:hAnsi="Calibri"/>
                <w:color w:val="000000"/>
              </w:rPr>
            </w:pPr>
            <w:r w:rsidRPr="009230CD">
              <w:rPr>
                <w:rFonts w:ascii="Calibri" w:eastAsia="Times New Roman" w:hAnsi="Calibri"/>
                <w:color w:val="000000"/>
              </w:rPr>
              <w:t>Church Stretton Medical Practice</w:t>
            </w:r>
          </w:p>
        </w:tc>
      </w:tr>
      <w:tr w:rsidR="009C512B" w:rsidRPr="009230CD" w14:paraId="7CC7B6E5"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1A5418CD" w14:textId="77777777" w:rsidR="009C512B" w:rsidRPr="009230CD" w:rsidRDefault="009C512B" w:rsidP="001B7733">
            <w:pPr>
              <w:jc w:val="center"/>
              <w:rPr>
                <w:rFonts w:ascii="Calibri" w:eastAsia="Times New Roman" w:hAnsi="Calibri"/>
                <w:color w:val="000000"/>
              </w:rPr>
            </w:pPr>
          </w:p>
        </w:tc>
      </w:tr>
      <w:tr w:rsidR="009C512B" w:rsidRPr="009230CD" w14:paraId="7E848B4A" w14:textId="77777777" w:rsidTr="009C512B">
        <w:trPr>
          <w:trHeight w:val="509"/>
        </w:trPr>
        <w:tc>
          <w:tcPr>
            <w:tcW w:w="3559" w:type="dxa"/>
            <w:vMerge w:val="restart"/>
            <w:tcBorders>
              <w:top w:val="nil"/>
              <w:left w:val="single" w:sz="8" w:space="0" w:color="auto"/>
              <w:right w:val="single" w:sz="8" w:space="0" w:color="auto"/>
            </w:tcBorders>
            <w:vAlign w:val="bottom"/>
          </w:tcPr>
          <w:p w14:paraId="345BF493" w14:textId="77777777" w:rsidR="009C512B" w:rsidRPr="009230CD" w:rsidRDefault="009C512B" w:rsidP="001B7733">
            <w:pPr>
              <w:jc w:val="center"/>
              <w:rPr>
                <w:rFonts w:ascii="Calibri" w:eastAsia="Times New Roman" w:hAnsi="Calibri"/>
                <w:color w:val="000000"/>
              </w:rPr>
            </w:pPr>
            <w:proofErr w:type="spellStart"/>
            <w:r w:rsidRPr="009230CD">
              <w:rPr>
                <w:rFonts w:ascii="Calibri" w:eastAsia="Times New Roman" w:hAnsi="Calibri"/>
                <w:color w:val="000000"/>
              </w:rPr>
              <w:t>Cleobury</w:t>
            </w:r>
            <w:proofErr w:type="spellEnd"/>
            <w:r w:rsidRPr="009230CD">
              <w:rPr>
                <w:rFonts w:ascii="Calibri" w:eastAsia="Times New Roman" w:hAnsi="Calibri"/>
                <w:color w:val="000000"/>
              </w:rPr>
              <w:t xml:space="preserve"> Mortimer Medical Centre</w:t>
            </w:r>
          </w:p>
        </w:tc>
      </w:tr>
      <w:tr w:rsidR="009C512B" w:rsidRPr="009230CD" w14:paraId="729E20C5"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6A35AF65" w14:textId="77777777" w:rsidR="009C512B" w:rsidRPr="009230CD" w:rsidRDefault="009C512B" w:rsidP="001B7733">
            <w:pPr>
              <w:jc w:val="center"/>
              <w:rPr>
                <w:rFonts w:ascii="Calibri" w:eastAsia="Times New Roman" w:hAnsi="Calibri"/>
                <w:color w:val="000000"/>
              </w:rPr>
            </w:pPr>
          </w:p>
        </w:tc>
      </w:tr>
      <w:tr w:rsidR="009C512B" w:rsidRPr="009230CD" w14:paraId="787E7B27" w14:textId="77777777" w:rsidTr="009C512B">
        <w:trPr>
          <w:trHeight w:val="509"/>
        </w:trPr>
        <w:tc>
          <w:tcPr>
            <w:tcW w:w="3559" w:type="dxa"/>
            <w:vMerge w:val="restart"/>
            <w:tcBorders>
              <w:top w:val="nil"/>
              <w:left w:val="single" w:sz="8" w:space="0" w:color="auto"/>
              <w:right w:val="single" w:sz="8" w:space="0" w:color="auto"/>
            </w:tcBorders>
            <w:vAlign w:val="bottom"/>
          </w:tcPr>
          <w:p w14:paraId="6635BBE5" w14:textId="77777777" w:rsidR="009C512B" w:rsidRPr="009230CD" w:rsidRDefault="009C512B" w:rsidP="001B7733">
            <w:pPr>
              <w:jc w:val="center"/>
              <w:rPr>
                <w:rFonts w:ascii="Calibri" w:eastAsia="Times New Roman" w:hAnsi="Calibri"/>
                <w:color w:val="000000"/>
              </w:rPr>
            </w:pPr>
            <w:r w:rsidRPr="009230CD">
              <w:rPr>
                <w:rFonts w:ascii="Calibri" w:eastAsia="Times New Roman" w:hAnsi="Calibri"/>
                <w:color w:val="000000"/>
              </w:rPr>
              <w:t>Craven Arms Medical Practice</w:t>
            </w:r>
          </w:p>
        </w:tc>
      </w:tr>
      <w:tr w:rsidR="009C512B" w:rsidRPr="009230CD" w14:paraId="4ADC6140"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7E0A1A4A" w14:textId="77777777" w:rsidR="009C512B" w:rsidRPr="009230CD" w:rsidRDefault="009C512B" w:rsidP="001B7733">
            <w:pPr>
              <w:jc w:val="center"/>
              <w:rPr>
                <w:rFonts w:ascii="Calibri" w:eastAsia="Times New Roman" w:hAnsi="Calibri"/>
                <w:color w:val="000000"/>
              </w:rPr>
            </w:pPr>
          </w:p>
        </w:tc>
      </w:tr>
      <w:tr w:rsidR="009C512B" w:rsidRPr="009230CD" w14:paraId="4368D85E" w14:textId="77777777" w:rsidTr="009C512B">
        <w:trPr>
          <w:trHeight w:val="509"/>
        </w:trPr>
        <w:tc>
          <w:tcPr>
            <w:tcW w:w="3559" w:type="dxa"/>
            <w:vMerge w:val="restart"/>
            <w:tcBorders>
              <w:top w:val="nil"/>
              <w:left w:val="single" w:sz="8" w:space="0" w:color="auto"/>
              <w:right w:val="single" w:sz="8" w:space="0" w:color="auto"/>
            </w:tcBorders>
            <w:vAlign w:val="bottom"/>
          </w:tcPr>
          <w:p w14:paraId="1E80529A" w14:textId="77777777" w:rsidR="009C512B" w:rsidRPr="009230CD" w:rsidRDefault="009C512B" w:rsidP="001B7733">
            <w:pPr>
              <w:jc w:val="center"/>
              <w:rPr>
                <w:rFonts w:ascii="Calibri" w:eastAsia="Times New Roman" w:hAnsi="Calibri"/>
                <w:color w:val="000000"/>
              </w:rPr>
            </w:pPr>
            <w:proofErr w:type="spellStart"/>
            <w:r w:rsidRPr="009230CD">
              <w:rPr>
                <w:rFonts w:ascii="Calibri" w:eastAsia="Times New Roman" w:hAnsi="Calibri"/>
                <w:color w:val="000000"/>
              </w:rPr>
              <w:t>Highley</w:t>
            </w:r>
            <w:proofErr w:type="spellEnd"/>
            <w:r w:rsidRPr="009230CD">
              <w:rPr>
                <w:rFonts w:ascii="Calibri" w:eastAsia="Times New Roman" w:hAnsi="Calibri"/>
                <w:color w:val="000000"/>
              </w:rPr>
              <w:t xml:space="preserve"> Medical Centre</w:t>
            </w:r>
          </w:p>
        </w:tc>
      </w:tr>
      <w:tr w:rsidR="009C512B" w:rsidRPr="009230CD" w14:paraId="66D0FB51"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6E761B24" w14:textId="77777777" w:rsidR="009C512B" w:rsidRPr="009230CD" w:rsidRDefault="009C512B" w:rsidP="001B7733">
            <w:pPr>
              <w:jc w:val="center"/>
              <w:rPr>
                <w:rFonts w:ascii="Calibri" w:eastAsia="Times New Roman" w:hAnsi="Calibri"/>
                <w:color w:val="000000"/>
              </w:rPr>
            </w:pPr>
          </w:p>
        </w:tc>
      </w:tr>
      <w:tr w:rsidR="009C512B" w:rsidRPr="009230CD" w14:paraId="2713B3CD" w14:textId="77777777" w:rsidTr="009C512B">
        <w:trPr>
          <w:trHeight w:val="509"/>
        </w:trPr>
        <w:tc>
          <w:tcPr>
            <w:tcW w:w="3559" w:type="dxa"/>
            <w:vMerge w:val="restart"/>
            <w:tcBorders>
              <w:top w:val="single" w:sz="4" w:space="0" w:color="auto"/>
              <w:left w:val="single" w:sz="4" w:space="0" w:color="auto"/>
              <w:bottom w:val="single" w:sz="4" w:space="0" w:color="auto"/>
              <w:right w:val="single" w:sz="4" w:space="0" w:color="auto"/>
            </w:tcBorders>
            <w:vAlign w:val="bottom"/>
          </w:tcPr>
          <w:p w14:paraId="75DA07CC" w14:textId="77777777" w:rsidR="009C512B" w:rsidRPr="009230CD" w:rsidRDefault="009C512B" w:rsidP="001B7733">
            <w:pPr>
              <w:jc w:val="center"/>
              <w:rPr>
                <w:rFonts w:ascii="Calibri" w:eastAsia="Times New Roman" w:hAnsi="Calibri"/>
                <w:color w:val="000000"/>
              </w:rPr>
            </w:pPr>
            <w:r w:rsidRPr="009230CD">
              <w:rPr>
                <w:rFonts w:ascii="Calibri" w:eastAsia="Times New Roman" w:hAnsi="Calibri"/>
                <w:color w:val="000000"/>
              </w:rPr>
              <w:lastRenderedPageBreak/>
              <w:t xml:space="preserve">Much Wenlock &amp; </w:t>
            </w:r>
            <w:proofErr w:type="spellStart"/>
            <w:r w:rsidRPr="009230CD">
              <w:rPr>
                <w:rFonts w:ascii="Calibri" w:eastAsia="Times New Roman" w:hAnsi="Calibri"/>
                <w:color w:val="000000"/>
              </w:rPr>
              <w:t>Cressage</w:t>
            </w:r>
            <w:proofErr w:type="spellEnd"/>
            <w:r w:rsidRPr="009230CD">
              <w:rPr>
                <w:rFonts w:ascii="Calibri" w:eastAsia="Times New Roman" w:hAnsi="Calibri"/>
                <w:color w:val="000000"/>
              </w:rPr>
              <w:t xml:space="preserve"> Medical Practice</w:t>
            </w:r>
          </w:p>
        </w:tc>
      </w:tr>
      <w:tr w:rsidR="009C512B" w:rsidRPr="009230CD" w14:paraId="61FE22A8" w14:textId="77777777" w:rsidTr="009C512B">
        <w:trPr>
          <w:trHeight w:val="509"/>
        </w:trPr>
        <w:tc>
          <w:tcPr>
            <w:tcW w:w="3559" w:type="dxa"/>
            <w:vMerge/>
            <w:tcBorders>
              <w:top w:val="single" w:sz="4" w:space="0" w:color="auto"/>
              <w:left w:val="single" w:sz="4" w:space="0" w:color="auto"/>
              <w:bottom w:val="single" w:sz="4" w:space="0" w:color="auto"/>
              <w:right w:val="single" w:sz="4" w:space="0" w:color="auto"/>
            </w:tcBorders>
            <w:vAlign w:val="bottom"/>
          </w:tcPr>
          <w:p w14:paraId="3779AC45" w14:textId="77777777" w:rsidR="009C512B" w:rsidRPr="009230CD" w:rsidRDefault="009C512B" w:rsidP="001B7733">
            <w:pPr>
              <w:jc w:val="center"/>
              <w:rPr>
                <w:rFonts w:ascii="Calibri" w:eastAsia="Times New Roman" w:hAnsi="Calibri"/>
                <w:color w:val="000000"/>
              </w:rPr>
            </w:pPr>
          </w:p>
        </w:tc>
      </w:tr>
      <w:tr w:rsidR="009C512B" w:rsidRPr="009230CD" w14:paraId="584D6340" w14:textId="77777777" w:rsidTr="009C512B">
        <w:trPr>
          <w:trHeight w:val="509"/>
        </w:trPr>
        <w:tc>
          <w:tcPr>
            <w:tcW w:w="3559" w:type="dxa"/>
            <w:vMerge w:val="restart"/>
            <w:tcBorders>
              <w:top w:val="nil"/>
              <w:left w:val="single" w:sz="8" w:space="0" w:color="auto"/>
              <w:right w:val="single" w:sz="8" w:space="0" w:color="auto"/>
            </w:tcBorders>
            <w:vAlign w:val="bottom"/>
          </w:tcPr>
          <w:p w14:paraId="0B0676DE" w14:textId="77777777" w:rsidR="009C512B" w:rsidRPr="009230CD" w:rsidRDefault="009C512B" w:rsidP="001B7733">
            <w:pPr>
              <w:jc w:val="center"/>
              <w:rPr>
                <w:rFonts w:ascii="Calibri" w:eastAsia="Times New Roman" w:hAnsi="Calibri"/>
                <w:color w:val="000000"/>
              </w:rPr>
            </w:pPr>
            <w:r w:rsidRPr="009230CD">
              <w:rPr>
                <w:rFonts w:ascii="Calibri" w:eastAsia="Times New Roman" w:hAnsi="Calibri"/>
                <w:color w:val="000000"/>
              </w:rPr>
              <w:t>Portcullis Surgery</w:t>
            </w:r>
          </w:p>
        </w:tc>
      </w:tr>
      <w:tr w:rsidR="009C512B" w:rsidRPr="009230CD" w14:paraId="51CDA7E1"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1D974C58" w14:textId="77777777" w:rsidR="009C512B" w:rsidRPr="009230CD" w:rsidRDefault="009C512B" w:rsidP="001B7733">
            <w:pPr>
              <w:jc w:val="center"/>
              <w:rPr>
                <w:rFonts w:ascii="Calibri" w:eastAsia="Times New Roman" w:hAnsi="Calibri"/>
                <w:color w:val="000000"/>
              </w:rPr>
            </w:pPr>
          </w:p>
        </w:tc>
      </w:tr>
      <w:tr w:rsidR="009C512B" w:rsidRPr="009230CD" w14:paraId="4D878062" w14:textId="77777777" w:rsidTr="009C512B">
        <w:trPr>
          <w:trHeight w:val="509"/>
        </w:trPr>
        <w:tc>
          <w:tcPr>
            <w:tcW w:w="3559" w:type="dxa"/>
            <w:vMerge w:val="restart"/>
            <w:tcBorders>
              <w:top w:val="nil"/>
              <w:left w:val="single" w:sz="8" w:space="0" w:color="auto"/>
              <w:right w:val="single" w:sz="8" w:space="0" w:color="auto"/>
            </w:tcBorders>
            <w:vAlign w:val="bottom"/>
          </w:tcPr>
          <w:p w14:paraId="0C9BC856" w14:textId="77777777" w:rsidR="009C512B" w:rsidRPr="009230CD" w:rsidRDefault="009C512B" w:rsidP="001B7733">
            <w:pPr>
              <w:jc w:val="center"/>
              <w:rPr>
                <w:rFonts w:ascii="Calibri" w:eastAsia="Times New Roman" w:hAnsi="Calibri"/>
                <w:color w:val="000000"/>
              </w:rPr>
            </w:pPr>
            <w:proofErr w:type="spellStart"/>
            <w:r w:rsidRPr="009230CD">
              <w:rPr>
                <w:rFonts w:ascii="Calibri" w:eastAsia="Times New Roman" w:hAnsi="Calibri"/>
                <w:color w:val="000000"/>
              </w:rPr>
              <w:t>Shifnal</w:t>
            </w:r>
            <w:proofErr w:type="spellEnd"/>
            <w:r w:rsidRPr="009230CD">
              <w:rPr>
                <w:rFonts w:ascii="Calibri" w:eastAsia="Times New Roman" w:hAnsi="Calibri"/>
                <w:color w:val="000000"/>
              </w:rPr>
              <w:t xml:space="preserve"> &amp; </w:t>
            </w:r>
            <w:proofErr w:type="spellStart"/>
            <w:r w:rsidRPr="009230CD">
              <w:rPr>
                <w:rFonts w:ascii="Calibri" w:eastAsia="Times New Roman" w:hAnsi="Calibri"/>
                <w:color w:val="000000"/>
              </w:rPr>
              <w:t>Priorslee</w:t>
            </w:r>
            <w:proofErr w:type="spellEnd"/>
            <w:r w:rsidRPr="009230CD">
              <w:rPr>
                <w:rFonts w:ascii="Calibri" w:eastAsia="Times New Roman" w:hAnsi="Calibri"/>
                <w:color w:val="000000"/>
              </w:rPr>
              <w:t xml:space="preserve"> Medical Practice</w:t>
            </w:r>
          </w:p>
        </w:tc>
      </w:tr>
      <w:tr w:rsidR="009C512B" w:rsidRPr="009230CD" w14:paraId="4620F45A"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71E53667" w14:textId="77777777" w:rsidR="009C512B" w:rsidRPr="009230CD" w:rsidRDefault="009C512B" w:rsidP="001B7733">
            <w:pPr>
              <w:jc w:val="center"/>
              <w:rPr>
                <w:rFonts w:ascii="Calibri" w:eastAsia="Times New Roman" w:hAnsi="Calibri"/>
                <w:color w:val="000000"/>
              </w:rPr>
            </w:pPr>
          </w:p>
        </w:tc>
      </w:tr>
      <w:tr w:rsidR="009C512B" w:rsidRPr="009230CD" w14:paraId="7E2F4AC3" w14:textId="77777777" w:rsidTr="009C512B">
        <w:trPr>
          <w:trHeight w:val="509"/>
        </w:trPr>
        <w:tc>
          <w:tcPr>
            <w:tcW w:w="3559" w:type="dxa"/>
            <w:vMerge w:val="restart"/>
            <w:tcBorders>
              <w:top w:val="nil"/>
              <w:left w:val="single" w:sz="8" w:space="0" w:color="auto"/>
              <w:right w:val="single" w:sz="8" w:space="0" w:color="auto"/>
            </w:tcBorders>
            <w:vAlign w:val="center"/>
          </w:tcPr>
          <w:p w14:paraId="4DC62C8B" w14:textId="77777777" w:rsidR="009C512B" w:rsidRPr="009230CD" w:rsidRDefault="009C512B" w:rsidP="00926066">
            <w:pPr>
              <w:rPr>
                <w:rFonts w:ascii="Calibri" w:eastAsia="Times New Roman" w:hAnsi="Calibri"/>
                <w:color w:val="000000"/>
              </w:rPr>
            </w:pPr>
            <w:r w:rsidRPr="009230CD">
              <w:rPr>
                <w:rFonts w:ascii="Calibri" w:eastAsia="Times New Roman" w:hAnsi="Calibri"/>
                <w:color w:val="000000"/>
              </w:rPr>
              <w:t>Station Drive Surgery</w:t>
            </w:r>
          </w:p>
        </w:tc>
      </w:tr>
      <w:tr w:rsidR="009C512B" w:rsidRPr="009230CD" w14:paraId="76B9C485" w14:textId="77777777" w:rsidTr="009C512B">
        <w:trPr>
          <w:trHeight w:val="509"/>
        </w:trPr>
        <w:tc>
          <w:tcPr>
            <w:tcW w:w="3559" w:type="dxa"/>
            <w:vMerge/>
            <w:tcBorders>
              <w:left w:val="single" w:sz="8" w:space="0" w:color="auto"/>
              <w:bottom w:val="single" w:sz="4" w:space="0" w:color="auto"/>
              <w:right w:val="single" w:sz="8" w:space="0" w:color="auto"/>
            </w:tcBorders>
            <w:vAlign w:val="bottom"/>
          </w:tcPr>
          <w:p w14:paraId="70F1A2EA" w14:textId="77777777" w:rsidR="009C512B" w:rsidRPr="009230CD" w:rsidRDefault="009C512B" w:rsidP="001B7733">
            <w:pPr>
              <w:jc w:val="center"/>
              <w:rPr>
                <w:rFonts w:ascii="Calibri" w:eastAsia="Times New Roman" w:hAnsi="Calibri"/>
                <w:color w:val="000000"/>
              </w:rPr>
            </w:pPr>
          </w:p>
        </w:tc>
      </w:tr>
      <w:tr w:rsidR="009C512B" w:rsidRPr="009230CD" w14:paraId="781B7FDB" w14:textId="77777777" w:rsidTr="009C512B">
        <w:trPr>
          <w:trHeight w:val="509"/>
        </w:trPr>
        <w:tc>
          <w:tcPr>
            <w:tcW w:w="3559" w:type="dxa"/>
            <w:vMerge w:val="restart"/>
            <w:tcBorders>
              <w:top w:val="single" w:sz="4" w:space="0" w:color="auto"/>
              <w:left w:val="single" w:sz="4" w:space="0" w:color="auto"/>
              <w:bottom w:val="single" w:sz="4" w:space="0" w:color="auto"/>
              <w:right w:val="single" w:sz="4" w:space="0" w:color="auto"/>
            </w:tcBorders>
            <w:vAlign w:val="bottom"/>
          </w:tcPr>
          <w:p w14:paraId="6F0087D8" w14:textId="77777777" w:rsidR="009C512B" w:rsidRPr="009230CD" w:rsidRDefault="009C512B" w:rsidP="001B7733">
            <w:pPr>
              <w:jc w:val="center"/>
              <w:rPr>
                <w:rFonts w:ascii="Calibri" w:eastAsia="Times New Roman" w:hAnsi="Calibri"/>
                <w:color w:val="000000"/>
              </w:rPr>
            </w:pPr>
            <w:r w:rsidRPr="009230CD">
              <w:rPr>
                <w:rFonts w:ascii="Calibri" w:eastAsia="Times New Roman" w:hAnsi="Calibri"/>
                <w:color w:val="000000"/>
              </w:rPr>
              <w:t>The Meadows Medical Practice</w:t>
            </w:r>
          </w:p>
        </w:tc>
      </w:tr>
      <w:tr w:rsidR="009C512B" w:rsidRPr="009230CD" w14:paraId="21C1BAFA" w14:textId="77777777" w:rsidTr="009C512B">
        <w:trPr>
          <w:trHeight w:val="509"/>
        </w:trPr>
        <w:tc>
          <w:tcPr>
            <w:tcW w:w="3559" w:type="dxa"/>
            <w:vMerge/>
            <w:tcBorders>
              <w:top w:val="single" w:sz="4" w:space="0" w:color="auto"/>
              <w:left w:val="single" w:sz="4" w:space="0" w:color="auto"/>
              <w:bottom w:val="single" w:sz="4" w:space="0" w:color="auto"/>
              <w:right w:val="single" w:sz="4" w:space="0" w:color="auto"/>
            </w:tcBorders>
            <w:vAlign w:val="bottom"/>
          </w:tcPr>
          <w:p w14:paraId="24D25BB5" w14:textId="77777777" w:rsidR="009C512B" w:rsidRPr="009230CD" w:rsidRDefault="009C512B" w:rsidP="001B7733">
            <w:pPr>
              <w:jc w:val="center"/>
              <w:rPr>
                <w:rFonts w:ascii="Calibri" w:eastAsia="Times New Roman" w:hAnsi="Calibri"/>
                <w:color w:val="000000"/>
              </w:rPr>
            </w:pPr>
          </w:p>
        </w:tc>
      </w:tr>
    </w:tbl>
    <w:p w14:paraId="202EC13F" w14:textId="77777777" w:rsidR="00581526" w:rsidRDefault="00581526" w:rsidP="00E352EE">
      <w:pPr>
        <w:rPr>
          <w:b/>
        </w:rPr>
      </w:pPr>
      <w:bookmarkStart w:id="0" w:name="_GoBack"/>
      <w:bookmarkEnd w:id="0"/>
    </w:p>
    <w:sectPr w:rsidR="00581526" w:rsidSect="005236D1">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559D2" w14:textId="77777777" w:rsidR="008E09A1" w:rsidRDefault="008E09A1" w:rsidP="00C80C34">
      <w:pPr>
        <w:spacing w:after="0" w:line="240" w:lineRule="auto"/>
      </w:pPr>
      <w:r>
        <w:separator/>
      </w:r>
    </w:p>
  </w:endnote>
  <w:endnote w:type="continuationSeparator" w:id="0">
    <w:p w14:paraId="470FB974" w14:textId="77777777" w:rsidR="008E09A1" w:rsidRDefault="008E09A1" w:rsidP="00C8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BC4AC" w14:textId="77777777" w:rsidR="004F2BB5" w:rsidRDefault="004F2BB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C512B" w:rsidRPr="009C512B">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5E94F3DE" w14:textId="77777777" w:rsidR="004F2BB5" w:rsidRDefault="004F2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84692" w14:textId="77777777" w:rsidR="008E09A1" w:rsidRDefault="008E09A1" w:rsidP="00C80C34">
      <w:pPr>
        <w:spacing w:after="0" w:line="240" w:lineRule="auto"/>
      </w:pPr>
      <w:r>
        <w:separator/>
      </w:r>
    </w:p>
  </w:footnote>
  <w:footnote w:type="continuationSeparator" w:id="0">
    <w:p w14:paraId="10424743" w14:textId="77777777" w:rsidR="008E09A1" w:rsidRDefault="008E09A1" w:rsidP="00C80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46"/>
    <w:lvl w:ilvl="0">
      <w:start w:val="1"/>
      <w:numFmt w:val="decimal"/>
      <w:lvlText w:val="%1."/>
      <w:lvlJc w:val="left"/>
      <w:pPr>
        <w:tabs>
          <w:tab w:val="num" w:pos="360"/>
        </w:tabs>
        <w:ind w:left="360" w:hanging="360"/>
      </w:pPr>
    </w:lvl>
  </w:abstractNum>
  <w:abstractNum w:abstractNumId="1">
    <w:nsid w:val="0000001A"/>
    <w:multiLevelType w:val="singleLevel"/>
    <w:tmpl w:val="0000001A"/>
    <w:name w:val="WW8Num131"/>
    <w:lvl w:ilvl="0">
      <w:start w:val="1"/>
      <w:numFmt w:val="bullet"/>
      <w:lvlText w:val=""/>
      <w:lvlJc w:val="left"/>
      <w:pPr>
        <w:tabs>
          <w:tab w:val="num" w:pos="720"/>
        </w:tabs>
        <w:ind w:left="720" w:hanging="360"/>
      </w:pPr>
      <w:rPr>
        <w:rFonts w:ascii="Symbol" w:hAnsi="Symbol"/>
      </w:rPr>
    </w:lvl>
  </w:abstractNum>
  <w:abstractNum w:abstractNumId="2">
    <w:nsid w:val="00806A6C"/>
    <w:multiLevelType w:val="hybridMultilevel"/>
    <w:tmpl w:val="E3DA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10224"/>
    <w:multiLevelType w:val="hybridMultilevel"/>
    <w:tmpl w:val="9A94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757D0"/>
    <w:multiLevelType w:val="hybridMultilevel"/>
    <w:tmpl w:val="78FA72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6C71D2"/>
    <w:multiLevelType w:val="multilevel"/>
    <w:tmpl w:val="3AEA8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8A78D7"/>
    <w:multiLevelType w:val="hybridMultilevel"/>
    <w:tmpl w:val="3A8C6DE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nsid w:val="0BCA7EF1"/>
    <w:multiLevelType w:val="hybridMultilevel"/>
    <w:tmpl w:val="CA66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FF145E"/>
    <w:multiLevelType w:val="hybridMultilevel"/>
    <w:tmpl w:val="1F263E10"/>
    <w:lvl w:ilvl="0" w:tplc="52FAD67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FF15E7"/>
    <w:multiLevelType w:val="hybridMultilevel"/>
    <w:tmpl w:val="F9DA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66946"/>
    <w:multiLevelType w:val="hybridMultilevel"/>
    <w:tmpl w:val="C124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B41D69"/>
    <w:multiLevelType w:val="hybridMultilevel"/>
    <w:tmpl w:val="1574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5861E2"/>
    <w:multiLevelType w:val="hybridMultilevel"/>
    <w:tmpl w:val="D3E0E8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85162FF"/>
    <w:multiLevelType w:val="hybridMultilevel"/>
    <w:tmpl w:val="34AAB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99340D"/>
    <w:multiLevelType w:val="hybridMultilevel"/>
    <w:tmpl w:val="3FB699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25365CF"/>
    <w:multiLevelType w:val="multilevel"/>
    <w:tmpl w:val="452C0BA4"/>
    <w:lvl w:ilvl="0">
      <w:start w:val="1"/>
      <w:numFmt w:val="decimal"/>
      <w:lvlText w:val="%1."/>
      <w:lvlJc w:val="left"/>
      <w:pPr>
        <w:ind w:left="360" w:hanging="360"/>
      </w:pPr>
      <w:rPr>
        <w:rFonts w:hint="default"/>
      </w:rPr>
    </w:lvl>
    <w:lvl w:ilvl="1">
      <w:start w:val="1"/>
      <w:numFmt w:val="decimal"/>
      <w:isLgl/>
      <w:lvlText w:val="%1.%2."/>
      <w:lvlJc w:val="left"/>
      <w:pPr>
        <w:ind w:left="-207"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6">
    <w:nsid w:val="6B3E715C"/>
    <w:multiLevelType w:val="multilevel"/>
    <w:tmpl w:val="319A383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16"/>
  </w:num>
  <w:num w:numId="4">
    <w:abstractNumId w:val="15"/>
  </w:num>
  <w:num w:numId="5">
    <w:abstractNumId w:val="11"/>
  </w:num>
  <w:num w:numId="6">
    <w:abstractNumId w:val="2"/>
  </w:num>
  <w:num w:numId="7">
    <w:abstractNumId w:val="9"/>
  </w:num>
  <w:num w:numId="8">
    <w:abstractNumId w:val="7"/>
  </w:num>
  <w:num w:numId="9">
    <w:abstractNumId w:val="10"/>
  </w:num>
  <w:num w:numId="10">
    <w:abstractNumId w:val="8"/>
  </w:num>
  <w:num w:numId="11">
    <w:abstractNumId w:val="13"/>
  </w:num>
  <w:num w:numId="12">
    <w:abstractNumId w:val="3"/>
  </w:num>
  <w:num w:numId="13">
    <w:abstractNumId w:val="5"/>
  </w:num>
  <w:num w:numId="14">
    <w:abstractNumId w:val="0"/>
  </w:num>
  <w:num w:numId="15">
    <w:abstractNumId w:val="1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C8"/>
    <w:rsid w:val="00010B11"/>
    <w:rsid w:val="000111B4"/>
    <w:rsid w:val="00015863"/>
    <w:rsid w:val="00021415"/>
    <w:rsid w:val="00022A56"/>
    <w:rsid w:val="000274F4"/>
    <w:rsid w:val="00032562"/>
    <w:rsid w:val="00040A70"/>
    <w:rsid w:val="00041BDE"/>
    <w:rsid w:val="00044F16"/>
    <w:rsid w:val="00057EF7"/>
    <w:rsid w:val="00062C55"/>
    <w:rsid w:val="00071E52"/>
    <w:rsid w:val="00072C11"/>
    <w:rsid w:val="00072F90"/>
    <w:rsid w:val="00075AB5"/>
    <w:rsid w:val="00081AB0"/>
    <w:rsid w:val="00085BF9"/>
    <w:rsid w:val="000A34C0"/>
    <w:rsid w:val="000A4632"/>
    <w:rsid w:val="000B16AA"/>
    <w:rsid w:val="000B2649"/>
    <w:rsid w:val="000B5001"/>
    <w:rsid w:val="000C6237"/>
    <w:rsid w:val="000D1AC8"/>
    <w:rsid w:val="000D48CD"/>
    <w:rsid w:val="000E0C25"/>
    <w:rsid w:val="000E13DB"/>
    <w:rsid w:val="000E1989"/>
    <w:rsid w:val="000E1D8D"/>
    <w:rsid w:val="000E48C3"/>
    <w:rsid w:val="000E7500"/>
    <w:rsid w:val="000F1D67"/>
    <w:rsid w:val="000F5F21"/>
    <w:rsid w:val="0010237F"/>
    <w:rsid w:val="001037C7"/>
    <w:rsid w:val="00121F2C"/>
    <w:rsid w:val="00150C6C"/>
    <w:rsid w:val="00156C4B"/>
    <w:rsid w:val="001600C2"/>
    <w:rsid w:val="00160B42"/>
    <w:rsid w:val="00165CBD"/>
    <w:rsid w:val="001732F0"/>
    <w:rsid w:val="00173670"/>
    <w:rsid w:val="00174A0A"/>
    <w:rsid w:val="001823FA"/>
    <w:rsid w:val="00187A2C"/>
    <w:rsid w:val="0019360F"/>
    <w:rsid w:val="00196929"/>
    <w:rsid w:val="001A13C5"/>
    <w:rsid w:val="001A26BE"/>
    <w:rsid w:val="001B7733"/>
    <w:rsid w:val="001C41C2"/>
    <w:rsid w:val="001E18E6"/>
    <w:rsid w:val="001E3F84"/>
    <w:rsid w:val="001E6377"/>
    <w:rsid w:val="001F0E83"/>
    <w:rsid w:val="00202B78"/>
    <w:rsid w:val="00203DE0"/>
    <w:rsid w:val="00204547"/>
    <w:rsid w:val="00220C39"/>
    <w:rsid w:val="002235EC"/>
    <w:rsid w:val="00230020"/>
    <w:rsid w:val="0024322A"/>
    <w:rsid w:val="00246366"/>
    <w:rsid w:val="002538C9"/>
    <w:rsid w:val="00272F55"/>
    <w:rsid w:val="00275B12"/>
    <w:rsid w:val="002764F1"/>
    <w:rsid w:val="00294F83"/>
    <w:rsid w:val="002A0CD1"/>
    <w:rsid w:val="002A5E01"/>
    <w:rsid w:val="002A76B6"/>
    <w:rsid w:val="002D0884"/>
    <w:rsid w:val="002D21BE"/>
    <w:rsid w:val="002D2278"/>
    <w:rsid w:val="002D24AE"/>
    <w:rsid w:val="002F6644"/>
    <w:rsid w:val="00313FFC"/>
    <w:rsid w:val="003213AE"/>
    <w:rsid w:val="0032475A"/>
    <w:rsid w:val="003312F8"/>
    <w:rsid w:val="003365D4"/>
    <w:rsid w:val="00347993"/>
    <w:rsid w:val="0035179E"/>
    <w:rsid w:val="003522FD"/>
    <w:rsid w:val="003541F6"/>
    <w:rsid w:val="00355815"/>
    <w:rsid w:val="00361EB5"/>
    <w:rsid w:val="003651BF"/>
    <w:rsid w:val="0036779E"/>
    <w:rsid w:val="00373CAF"/>
    <w:rsid w:val="00373DFF"/>
    <w:rsid w:val="0037719A"/>
    <w:rsid w:val="0038350D"/>
    <w:rsid w:val="00383FDD"/>
    <w:rsid w:val="003965EC"/>
    <w:rsid w:val="003A0ADD"/>
    <w:rsid w:val="003B30E4"/>
    <w:rsid w:val="003B3F84"/>
    <w:rsid w:val="003B4376"/>
    <w:rsid w:val="003C7344"/>
    <w:rsid w:val="003D0AF0"/>
    <w:rsid w:val="003D2E86"/>
    <w:rsid w:val="003D323B"/>
    <w:rsid w:val="003E3673"/>
    <w:rsid w:val="003F283C"/>
    <w:rsid w:val="003F301B"/>
    <w:rsid w:val="003F521E"/>
    <w:rsid w:val="003F5E71"/>
    <w:rsid w:val="004012C5"/>
    <w:rsid w:val="00420579"/>
    <w:rsid w:val="00422990"/>
    <w:rsid w:val="00424965"/>
    <w:rsid w:val="00437E21"/>
    <w:rsid w:val="00440846"/>
    <w:rsid w:val="004433AE"/>
    <w:rsid w:val="00444126"/>
    <w:rsid w:val="004540C1"/>
    <w:rsid w:val="004605EA"/>
    <w:rsid w:val="00462CE1"/>
    <w:rsid w:val="00463BEE"/>
    <w:rsid w:val="0047125E"/>
    <w:rsid w:val="00477C93"/>
    <w:rsid w:val="00495293"/>
    <w:rsid w:val="004B0E8B"/>
    <w:rsid w:val="004C0D64"/>
    <w:rsid w:val="004C308B"/>
    <w:rsid w:val="004D2895"/>
    <w:rsid w:val="004D2EDF"/>
    <w:rsid w:val="004D3276"/>
    <w:rsid w:val="004D4176"/>
    <w:rsid w:val="004D71ED"/>
    <w:rsid w:val="004D744B"/>
    <w:rsid w:val="004E1621"/>
    <w:rsid w:val="004F2BB5"/>
    <w:rsid w:val="004F3078"/>
    <w:rsid w:val="004F3B0C"/>
    <w:rsid w:val="004F6241"/>
    <w:rsid w:val="00505DA5"/>
    <w:rsid w:val="00510B7F"/>
    <w:rsid w:val="005219DB"/>
    <w:rsid w:val="0052240B"/>
    <w:rsid w:val="005236D1"/>
    <w:rsid w:val="00526F3D"/>
    <w:rsid w:val="005550E5"/>
    <w:rsid w:val="00555C67"/>
    <w:rsid w:val="00567742"/>
    <w:rsid w:val="005770BF"/>
    <w:rsid w:val="00580591"/>
    <w:rsid w:val="005808E8"/>
    <w:rsid w:val="00581526"/>
    <w:rsid w:val="00590C6D"/>
    <w:rsid w:val="005A1717"/>
    <w:rsid w:val="005E3F35"/>
    <w:rsid w:val="005E45E8"/>
    <w:rsid w:val="005E5E7D"/>
    <w:rsid w:val="005E5E9A"/>
    <w:rsid w:val="005F127B"/>
    <w:rsid w:val="005F48E6"/>
    <w:rsid w:val="005F7600"/>
    <w:rsid w:val="0060725E"/>
    <w:rsid w:val="00634DF6"/>
    <w:rsid w:val="00637AA4"/>
    <w:rsid w:val="00637B8D"/>
    <w:rsid w:val="00650D72"/>
    <w:rsid w:val="00652988"/>
    <w:rsid w:val="00654293"/>
    <w:rsid w:val="00655779"/>
    <w:rsid w:val="006739C6"/>
    <w:rsid w:val="00684E37"/>
    <w:rsid w:val="00685F1D"/>
    <w:rsid w:val="00687EF2"/>
    <w:rsid w:val="006A6E96"/>
    <w:rsid w:val="006B2276"/>
    <w:rsid w:val="006B4565"/>
    <w:rsid w:val="006C2539"/>
    <w:rsid w:val="006C4B5F"/>
    <w:rsid w:val="006D09CC"/>
    <w:rsid w:val="006E2001"/>
    <w:rsid w:val="006E20D3"/>
    <w:rsid w:val="007024C1"/>
    <w:rsid w:val="00711F21"/>
    <w:rsid w:val="00714786"/>
    <w:rsid w:val="007166D8"/>
    <w:rsid w:val="00724BA3"/>
    <w:rsid w:val="00745E6D"/>
    <w:rsid w:val="00753B0D"/>
    <w:rsid w:val="00770D9C"/>
    <w:rsid w:val="00776A1E"/>
    <w:rsid w:val="0077739B"/>
    <w:rsid w:val="00782504"/>
    <w:rsid w:val="00787CA1"/>
    <w:rsid w:val="007B1628"/>
    <w:rsid w:val="007B5F69"/>
    <w:rsid w:val="007C352B"/>
    <w:rsid w:val="007C6270"/>
    <w:rsid w:val="007D16DC"/>
    <w:rsid w:val="007E1C2D"/>
    <w:rsid w:val="007F3067"/>
    <w:rsid w:val="007F57C1"/>
    <w:rsid w:val="007F667C"/>
    <w:rsid w:val="00801766"/>
    <w:rsid w:val="008105FC"/>
    <w:rsid w:val="00810C49"/>
    <w:rsid w:val="00811D95"/>
    <w:rsid w:val="0081261F"/>
    <w:rsid w:val="00815A3C"/>
    <w:rsid w:val="00817A16"/>
    <w:rsid w:val="00834D2A"/>
    <w:rsid w:val="00836148"/>
    <w:rsid w:val="00851146"/>
    <w:rsid w:val="008514BB"/>
    <w:rsid w:val="00854F49"/>
    <w:rsid w:val="0087075D"/>
    <w:rsid w:val="00877437"/>
    <w:rsid w:val="00885638"/>
    <w:rsid w:val="00897A65"/>
    <w:rsid w:val="008B0089"/>
    <w:rsid w:val="008B47E2"/>
    <w:rsid w:val="008C34D9"/>
    <w:rsid w:val="008D096A"/>
    <w:rsid w:val="008D41A2"/>
    <w:rsid w:val="008D7343"/>
    <w:rsid w:val="008E09A1"/>
    <w:rsid w:val="008E69AA"/>
    <w:rsid w:val="008F5BE7"/>
    <w:rsid w:val="009053FB"/>
    <w:rsid w:val="00907268"/>
    <w:rsid w:val="00907760"/>
    <w:rsid w:val="009123C2"/>
    <w:rsid w:val="00923A95"/>
    <w:rsid w:val="00924688"/>
    <w:rsid w:val="00926066"/>
    <w:rsid w:val="00931EA1"/>
    <w:rsid w:val="00933C55"/>
    <w:rsid w:val="009409CD"/>
    <w:rsid w:val="009505FB"/>
    <w:rsid w:val="00953EAD"/>
    <w:rsid w:val="00957AC2"/>
    <w:rsid w:val="00971042"/>
    <w:rsid w:val="009747AF"/>
    <w:rsid w:val="00975519"/>
    <w:rsid w:val="0097678C"/>
    <w:rsid w:val="009922B3"/>
    <w:rsid w:val="009B0D62"/>
    <w:rsid w:val="009B3EEC"/>
    <w:rsid w:val="009C01FE"/>
    <w:rsid w:val="009C512B"/>
    <w:rsid w:val="009C52E9"/>
    <w:rsid w:val="009C6A17"/>
    <w:rsid w:val="009D6C9B"/>
    <w:rsid w:val="009D7BC5"/>
    <w:rsid w:val="009E182F"/>
    <w:rsid w:val="009E42DF"/>
    <w:rsid w:val="009F7ED9"/>
    <w:rsid w:val="009F7F04"/>
    <w:rsid w:val="00A04F82"/>
    <w:rsid w:val="00A14F5C"/>
    <w:rsid w:val="00A237D3"/>
    <w:rsid w:val="00A2649B"/>
    <w:rsid w:val="00A4558C"/>
    <w:rsid w:val="00A5551B"/>
    <w:rsid w:val="00A55F3B"/>
    <w:rsid w:val="00A6014E"/>
    <w:rsid w:val="00A602FF"/>
    <w:rsid w:val="00A70766"/>
    <w:rsid w:val="00A8693A"/>
    <w:rsid w:val="00A91EC1"/>
    <w:rsid w:val="00AA56B3"/>
    <w:rsid w:val="00AA5B12"/>
    <w:rsid w:val="00AA7DFA"/>
    <w:rsid w:val="00AB3E69"/>
    <w:rsid w:val="00AB4151"/>
    <w:rsid w:val="00AC26FC"/>
    <w:rsid w:val="00AC6524"/>
    <w:rsid w:val="00AD7D04"/>
    <w:rsid w:val="00AF25AA"/>
    <w:rsid w:val="00AF39C5"/>
    <w:rsid w:val="00B0062A"/>
    <w:rsid w:val="00B1454C"/>
    <w:rsid w:val="00B33273"/>
    <w:rsid w:val="00B37331"/>
    <w:rsid w:val="00B44720"/>
    <w:rsid w:val="00B63189"/>
    <w:rsid w:val="00B64EDF"/>
    <w:rsid w:val="00B707CA"/>
    <w:rsid w:val="00B77DF7"/>
    <w:rsid w:val="00B80FC3"/>
    <w:rsid w:val="00B8570D"/>
    <w:rsid w:val="00B92183"/>
    <w:rsid w:val="00B930CA"/>
    <w:rsid w:val="00BA2705"/>
    <w:rsid w:val="00BA78D7"/>
    <w:rsid w:val="00BB0154"/>
    <w:rsid w:val="00BC5B80"/>
    <w:rsid w:val="00BD6A72"/>
    <w:rsid w:val="00BF08CB"/>
    <w:rsid w:val="00BF0BFD"/>
    <w:rsid w:val="00BF7376"/>
    <w:rsid w:val="00C02870"/>
    <w:rsid w:val="00C02F40"/>
    <w:rsid w:val="00C1376B"/>
    <w:rsid w:val="00C14A94"/>
    <w:rsid w:val="00C25583"/>
    <w:rsid w:val="00C325B7"/>
    <w:rsid w:val="00C32EFF"/>
    <w:rsid w:val="00C33379"/>
    <w:rsid w:val="00C34B99"/>
    <w:rsid w:val="00C523F9"/>
    <w:rsid w:val="00C5472B"/>
    <w:rsid w:val="00C66972"/>
    <w:rsid w:val="00C67993"/>
    <w:rsid w:val="00C67C4D"/>
    <w:rsid w:val="00C80C34"/>
    <w:rsid w:val="00C82385"/>
    <w:rsid w:val="00C857BA"/>
    <w:rsid w:val="00CA5061"/>
    <w:rsid w:val="00CA6EC0"/>
    <w:rsid w:val="00CB6847"/>
    <w:rsid w:val="00CC6AD6"/>
    <w:rsid w:val="00CD56DC"/>
    <w:rsid w:val="00CD7A4A"/>
    <w:rsid w:val="00CE1848"/>
    <w:rsid w:val="00CE2007"/>
    <w:rsid w:val="00CE525C"/>
    <w:rsid w:val="00D0581D"/>
    <w:rsid w:val="00D06E1E"/>
    <w:rsid w:val="00D13AD2"/>
    <w:rsid w:val="00D34FD8"/>
    <w:rsid w:val="00D36ECC"/>
    <w:rsid w:val="00D405C6"/>
    <w:rsid w:val="00D4364C"/>
    <w:rsid w:val="00D44451"/>
    <w:rsid w:val="00D44C9B"/>
    <w:rsid w:val="00D46EDF"/>
    <w:rsid w:val="00D47DCF"/>
    <w:rsid w:val="00D50D44"/>
    <w:rsid w:val="00D51617"/>
    <w:rsid w:val="00D64297"/>
    <w:rsid w:val="00D65CC0"/>
    <w:rsid w:val="00D73EFB"/>
    <w:rsid w:val="00D86445"/>
    <w:rsid w:val="00D86BEA"/>
    <w:rsid w:val="00D917AF"/>
    <w:rsid w:val="00D92986"/>
    <w:rsid w:val="00DA1AF1"/>
    <w:rsid w:val="00DA6648"/>
    <w:rsid w:val="00DB2A37"/>
    <w:rsid w:val="00DD6FF1"/>
    <w:rsid w:val="00DE29F9"/>
    <w:rsid w:val="00DE3AFF"/>
    <w:rsid w:val="00DE449C"/>
    <w:rsid w:val="00DF7A9A"/>
    <w:rsid w:val="00E03E1C"/>
    <w:rsid w:val="00E05542"/>
    <w:rsid w:val="00E066F9"/>
    <w:rsid w:val="00E072C8"/>
    <w:rsid w:val="00E25046"/>
    <w:rsid w:val="00E27253"/>
    <w:rsid w:val="00E352EE"/>
    <w:rsid w:val="00E56647"/>
    <w:rsid w:val="00E60C99"/>
    <w:rsid w:val="00E60DCB"/>
    <w:rsid w:val="00E6175C"/>
    <w:rsid w:val="00E73963"/>
    <w:rsid w:val="00E9533E"/>
    <w:rsid w:val="00E97D57"/>
    <w:rsid w:val="00EA18EC"/>
    <w:rsid w:val="00EA34FB"/>
    <w:rsid w:val="00EA7D16"/>
    <w:rsid w:val="00EB7F6C"/>
    <w:rsid w:val="00ED1DBD"/>
    <w:rsid w:val="00EE5300"/>
    <w:rsid w:val="00EF3711"/>
    <w:rsid w:val="00F06614"/>
    <w:rsid w:val="00F16B6A"/>
    <w:rsid w:val="00F2032B"/>
    <w:rsid w:val="00F2195B"/>
    <w:rsid w:val="00F244F8"/>
    <w:rsid w:val="00F24ABE"/>
    <w:rsid w:val="00F34E31"/>
    <w:rsid w:val="00F37DA7"/>
    <w:rsid w:val="00F45113"/>
    <w:rsid w:val="00F5258B"/>
    <w:rsid w:val="00F547B4"/>
    <w:rsid w:val="00F57D28"/>
    <w:rsid w:val="00F64160"/>
    <w:rsid w:val="00F65430"/>
    <w:rsid w:val="00F67DC6"/>
    <w:rsid w:val="00F70D77"/>
    <w:rsid w:val="00F779C5"/>
    <w:rsid w:val="00F77E7E"/>
    <w:rsid w:val="00F83F4D"/>
    <w:rsid w:val="00F86752"/>
    <w:rsid w:val="00F86A5B"/>
    <w:rsid w:val="00F93798"/>
    <w:rsid w:val="00F962D4"/>
    <w:rsid w:val="00FA2C0B"/>
    <w:rsid w:val="00FA35D5"/>
    <w:rsid w:val="00FA3883"/>
    <w:rsid w:val="00FB2B42"/>
    <w:rsid w:val="00FB5BD1"/>
    <w:rsid w:val="00FC1A79"/>
    <w:rsid w:val="00FC1C1C"/>
    <w:rsid w:val="00FC415A"/>
    <w:rsid w:val="00FC4F23"/>
    <w:rsid w:val="00FC5E7B"/>
    <w:rsid w:val="00FD141F"/>
    <w:rsid w:val="00FD1B7A"/>
    <w:rsid w:val="00FE5B4C"/>
    <w:rsid w:val="00FE7C69"/>
    <w:rsid w:val="00FF2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A5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63"/>
  </w:style>
  <w:style w:type="paragraph" w:styleId="Heading1">
    <w:name w:val="heading 1"/>
    <w:basedOn w:val="Normal"/>
    <w:next w:val="Normal"/>
    <w:link w:val="Heading1Char"/>
    <w:qFormat/>
    <w:rsid w:val="000D1AC8"/>
    <w:pPr>
      <w:spacing w:after="0"/>
      <w:ind w:left="480"/>
      <w:outlineLvl w:val="0"/>
    </w:pPr>
    <w:rPr>
      <w:rFonts w:ascii="Calibri" w:eastAsia="Times New Roman" w:hAnsi="Calibri" w:cs="Arial"/>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C8"/>
    <w:rPr>
      <w:rFonts w:ascii="Tahoma" w:hAnsi="Tahoma" w:cs="Tahoma"/>
      <w:sz w:val="16"/>
      <w:szCs w:val="16"/>
    </w:rPr>
  </w:style>
  <w:style w:type="character" w:customStyle="1" w:styleId="Heading1Char">
    <w:name w:val="Heading 1 Char"/>
    <w:basedOn w:val="DefaultParagraphFont"/>
    <w:link w:val="Heading1"/>
    <w:rsid w:val="000D1AC8"/>
    <w:rPr>
      <w:rFonts w:ascii="Calibri" w:eastAsia="Times New Roman" w:hAnsi="Calibri" w:cs="Arial"/>
      <w:b/>
      <w:bCs/>
      <w:u w:val="single"/>
      <w:lang w:eastAsia="en-GB"/>
    </w:rPr>
  </w:style>
  <w:style w:type="paragraph" w:styleId="BodyText">
    <w:name w:val="Body Text"/>
    <w:basedOn w:val="Normal"/>
    <w:link w:val="BodyTextChar"/>
    <w:rsid w:val="000D1AC8"/>
    <w:pPr>
      <w:overflowPunct w:val="0"/>
      <w:autoSpaceDE w:val="0"/>
      <w:autoSpaceDN w:val="0"/>
      <w:adjustRightInd w:val="0"/>
      <w:spacing w:after="0"/>
      <w:ind w:left="480"/>
      <w:textAlignment w:val="baseline"/>
    </w:pPr>
    <w:rPr>
      <w:rFonts w:ascii="Arial" w:eastAsia="Times New Roman" w:hAnsi="Arial" w:cs="Arial"/>
      <w:szCs w:val="20"/>
      <w:lang w:val="en-US" w:eastAsia="en-GB"/>
    </w:rPr>
  </w:style>
  <w:style w:type="character" w:customStyle="1" w:styleId="BodyTextChar">
    <w:name w:val="Body Text Char"/>
    <w:basedOn w:val="DefaultParagraphFont"/>
    <w:link w:val="BodyText"/>
    <w:rsid w:val="000D1AC8"/>
    <w:rPr>
      <w:rFonts w:ascii="Arial" w:eastAsia="Times New Roman" w:hAnsi="Arial" w:cs="Arial"/>
      <w:szCs w:val="20"/>
      <w:lang w:val="en-US" w:eastAsia="en-GB"/>
    </w:rPr>
  </w:style>
  <w:style w:type="paragraph" w:styleId="BodyTextIndent">
    <w:name w:val="Body Text Indent"/>
    <w:basedOn w:val="Normal"/>
    <w:link w:val="BodyTextIndentChar"/>
    <w:rsid w:val="000D1AC8"/>
    <w:pPr>
      <w:spacing w:after="120"/>
      <w:ind w:left="283"/>
    </w:pPr>
    <w:rPr>
      <w:rFonts w:ascii="Calibri" w:eastAsia="Times New Roman" w:hAnsi="Calibri" w:cs="Arial"/>
      <w:lang w:eastAsia="en-GB"/>
    </w:rPr>
  </w:style>
  <w:style w:type="character" w:customStyle="1" w:styleId="BodyTextIndentChar">
    <w:name w:val="Body Text Indent Char"/>
    <w:basedOn w:val="DefaultParagraphFont"/>
    <w:link w:val="BodyTextIndent"/>
    <w:rsid w:val="000D1AC8"/>
    <w:rPr>
      <w:rFonts w:ascii="Calibri" w:eastAsia="Times New Roman" w:hAnsi="Calibri" w:cs="Arial"/>
      <w:lang w:eastAsia="en-GB"/>
    </w:rPr>
  </w:style>
  <w:style w:type="paragraph" w:styleId="ListParagraph">
    <w:name w:val="List Paragraph"/>
    <w:basedOn w:val="Normal"/>
    <w:uiPriority w:val="34"/>
    <w:qFormat/>
    <w:rsid w:val="000D1AC8"/>
    <w:pPr>
      <w:spacing w:after="0"/>
      <w:ind w:left="720"/>
    </w:pPr>
    <w:rPr>
      <w:rFonts w:ascii="Calibri" w:eastAsia="Times New Roman" w:hAnsi="Calibri" w:cs="Arial"/>
      <w:lang w:eastAsia="en-GB"/>
    </w:rPr>
  </w:style>
  <w:style w:type="paragraph" w:styleId="ListBullet">
    <w:name w:val="List Bullet"/>
    <w:basedOn w:val="List"/>
    <w:rsid w:val="000D1AC8"/>
    <w:pPr>
      <w:numPr>
        <w:numId w:val="3"/>
      </w:numPr>
      <w:tabs>
        <w:tab w:val="clear" w:pos="720"/>
        <w:tab w:val="num" w:pos="360"/>
      </w:tabs>
      <w:suppressAutoHyphens/>
      <w:spacing w:after="240" w:line="240" w:lineRule="atLeast"/>
      <w:ind w:left="0" w:firstLine="0"/>
      <w:contextualSpacing w:val="0"/>
      <w:jc w:val="both"/>
    </w:pPr>
    <w:rPr>
      <w:rFonts w:ascii="Arial" w:eastAsia="Times New Roman" w:hAnsi="Arial" w:cs="Times New Roman"/>
      <w:spacing w:val="-5"/>
      <w:sz w:val="20"/>
      <w:szCs w:val="20"/>
      <w:lang w:eastAsia="ar-SA"/>
    </w:rPr>
  </w:style>
  <w:style w:type="paragraph" w:styleId="List">
    <w:name w:val="List"/>
    <w:basedOn w:val="Normal"/>
    <w:uiPriority w:val="99"/>
    <w:semiHidden/>
    <w:unhideWhenUsed/>
    <w:rsid w:val="000D1AC8"/>
    <w:pPr>
      <w:ind w:left="283" w:hanging="283"/>
      <w:contextualSpacing/>
    </w:pPr>
  </w:style>
  <w:style w:type="paragraph" w:customStyle="1" w:styleId="Default">
    <w:name w:val="Default"/>
    <w:rsid w:val="00022A5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F0E83"/>
    <w:rPr>
      <w:sz w:val="16"/>
      <w:szCs w:val="16"/>
    </w:rPr>
  </w:style>
  <w:style w:type="paragraph" w:styleId="CommentText">
    <w:name w:val="annotation text"/>
    <w:basedOn w:val="Normal"/>
    <w:link w:val="CommentTextChar"/>
    <w:uiPriority w:val="99"/>
    <w:semiHidden/>
    <w:unhideWhenUsed/>
    <w:rsid w:val="001F0E83"/>
    <w:pPr>
      <w:spacing w:line="240" w:lineRule="auto"/>
    </w:pPr>
    <w:rPr>
      <w:sz w:val="20"/>
      <w:szCs w:val="20"/>
    </w:rPr>
  </w:style>
  <w:style w:type="character" w:customStyle="1" w:styleId="CommentTextChar">
    <w:name w:val="Comment Text Char"/>
    <w:basedOn w:val="DefaultParagraphFont"/>
    <w:link w:val="CommentText"/>
    <w:uiPriority w:val="99"/>
    <w:semiHidden/>
    <w:rsid w:val="001F0E83"/>
    <w:rPr>
      <w:sz w:val="20"/>
      <w:szCs w:val="20"/>
    </w:rPr>
  </w:style>
  <w:style w:type="paragraph" w:styleId="CommentSubject">
    <w:name w:val="annotation subject"/>
    <w:basedOn w:val="CommentText"/>
    <w:next w:val="CommentText"/>
    <w:link w:val="CommentSubjectChar"/>
    <w:uiPriority w:val="99"/>
    <w:semiHidden/>
    <w:unhideWhenUsed/>
    <w:rsid w:val="001F0E83"/>
    <w:rPr>
      <w:b/>
      <w:bCs/>
    </w:rPr>
  </w:style>
  <w:style w:type="character" w:customStyle="1" w:styleId="CommentSubjectChar">
    <w:name w:val="Comment Subject Char"/>
    <w:basedOn w:val="CommentTextChar"/>
    <w:link w:val="CommentSubject"/>
    <w:uiPriority w:val="99"/>
    <w:semiHidden/>
    <w:rsid w:val="001F0E83"/>
    <w:rPr>
      <w:b/>
      <w:bCs/>
      <w:sz w:val="20"/>
      <w:szCs w:val="20"/>
    </w:rPr>
  </w:style>
  <w:style w:type="table" w:styleId="TableGrid">
    <w:name w:val="Table Grid"/>
    <w:basedOn w:val="TableNormal"/>
    <w:uiPriority w:val="59"/>
    <w:rsid w:val="00AD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5F127B"/>
    <w:pPr>
      <w:spacing w:after="60" w:line="240" w:lineRule="auto"/>
    </w:pPr>
    <w:rPr>
      <w:rFonts w:ascii="Arial" w:eastAsia="Times New Roman" w:hAnsi="Arial" w:cs="Times New Roman"/>
      <w:color w:val="999999"/>
      <w:sz w:val="16"/>
      <w:szCs w:val="16"/>
    </w:rPr>
  </w:style>
  <w:style w:type="character" w:styleId="Hyperlink">
    <w:name w:val="Hyperlink"/>
    <w:uiPriority w:val="99"/>
    <w:rsid w:val="005F127B"/>
    <w:rPr>
      <w:rFonts w:ascii="Arial" w:hAnsi="Arial" w:cs="Times New Roman"/>
      <w:color w:val="0000FF"/>
      <w:sz w:val="21"/>
      <w:u w:val="single"/>
    </w:rPr>
  </w:style>
  <w:style w:type="paragraph" w:customStyle="1" w:styleId="Contact">
    <w:name w:val="Contact"/>
    <w:basedOn w:val="Normal"/>
    <w:rsid w:val="005F127B"/>
    <w:pPr>
      <w:spacing w:after="0" w:line="240" w:lineRule="auto"/>
    </w:pPr>
    <w:rPr>
      <w:rFonts w:ascii="Arial" w:eastAsia="Times New Roman" w:hAnsi="Arial" w:cs="Times New Roman"/>
      <w:color w:val="005DAB"/>
      <w:sz w:val="28"/>
      <w:szCs w:val="28"/>
      <w:lang w:eastAsia="en-GB"/>
    </w:rPr>
  </w:style>
  <w:style w:type="paragraph" w:styleId="Header">
    <w:name w:val="header"/>
    <w:basedOn w:val="Normal"/>
    <w:link w:val="HeaderChar"/>
    <w:uiPriority w:val="99"/>
    <w:unhideWhenUsed/>
    <w:rsid w:val="00C8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C34"/>
  </w:style>
  <w:style w:type="paragraph" w:styleId="Footer">
    <w:name w:val="footer"/>
    <w:basedOn w:val="Normal"/>
    <w:link w:val="FooterChar"/>
    <w:uiPriority w:val="99"/>
    <w:unhideWhenUsed/>
    <w:rsid w:val="00C8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C34"/>
  </w:style>
  <w:style w:type="paragraph" w:styleId="NormalWeb">
    <w:name w:val="Normal (Web)"/>
    <w:basedOn w:val="Normal"/>
    <w:uiPriority w:val="99"/>
    <w:semiHidden/>
    <w:unhideWhenUsed/>
    <w:rsid w:val="00C028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5219DB"/>
    <w:pPr>
      <w:keepNext/>
      <w:keepLines/>
      <w:spacing w:before="480"/>
      <w:ind w:left="0"/>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1">
    <w:name w:val="toc 1"/>
    <w:basedOn w:val="Normal"/>
    <w:next w:val="Normal"/>
    <w:autoRedefine/>
    <w:uiPriority w:val="39"/>
    <w:unhideWhenUsed/>
    <w:rsid w:val="005219DB"/>
    <w:pPr>
      <w:spacing w:after="100"/>
    </w:pPr>
  </w:style>
  <w:style w:type="paragraph" w:styleId="DocumentMap">
    <w:name w:val="Document Map"/>
    <w:basedOn w:val="Normal"/>
    <w:link w:val="DocumentMapChar"/>
    <w:uiPriority w:val="99"/>
    <w:semiHidden/>
    <w:unhideWhenUsed/>
    <w:rsid w:val="00057EF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7EF7"/>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E03E1C"/>
    <w:rPr>
      <w:color w:val="605E5C"/>
      <w:shd w:val="clear" w:color="auto" w:fill="E1DFDD"/>
    </w:rPr>
  </w:style>
  <w:style w:type="character" w:customStyle="1" w:styleId="apple-converted-space">
    <w:name w:val="apple-converted-space"/>
    <w:basedOn w:val="DefaultParagraphFont"/>
    <w:rsid w:val="00E03E1C"/>
  </w:style>
  <w:style w:type="character" w:styleId="FollowedHyperlink">
    <w:name w:val="FollowedHyperlink"/>
    <w:basedOn w:val="DefaultParagraphFont"/>
    <w:uiPriority w:val="99"/>
    <w:semiHidden/>
    <w:unhideWhenUsed/>
    <w:rsid w:val="00B006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63"/>
  </w:style>
  <w:style w:type="paragraph" w:styleId="Heading1">
    <w:name w:val="heading 1"/>
    <w:basedOn w:val="Normal"/>
    <w:next w:val="Normal"/>
    <w:link w:val="Heading1Char"/>
    <w:qFormat/>
    <w:rsid w:val="000D1AC8"/>
    <w:pPr>
      <w:spacing w:after="0"/>
      <w:ind w:left="480"/>
      <w:outlineLvl w:val="0"/>
    </w:pPr>
    <w:rPr>
      <w:rFonts w:ascii="Calibri" w:eastAsia="Times New Roman" w:hAnsi="Calibri" w:cs="Arial"/>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C8"/>
    <w:rPr>
      <w:rFonts w:ascii="Tahoma" w:hAnsi="Tahoma" w:cs="Tahoma"/>
      <w:sz w:val="16"/>
      <w:szCs w:val="16"/>
    </w:rPr>
  </w:style>
  <w:style w:type="character" w:customStyle="1" w:styleId="Heading1Char">
    <w:name w:val="Heading 1 Char"/>
    <w:basedOn w:val="DefaultParagraphFont"/>
    <w:link w:val="Heading1"/>
    <w:rsid w:val="000D1AC8"/>
    <w:rPr>
      <w:rFonts w:ascii="Calibri" w:eastAsia="Times New Roman" w:hAnsi="Calibri" w:cs="Arial"/>
      <w:b/>
      <w:bCs/>
      <w:u w:val="single"/>
      <w:lang w:eastAsia="en-GB"/>
    </w:rPr>
  </w:style>
  <w:style w:type="paragraph" w:styleId="BodyText">
    <w:name w:val="Body Text"/>
    <w:basedOn w:val="Normal"/>
    <w:link w:val="BodyTextChar"/>
    <w:rsid w:val="000D1AC8"/>
    <w:pPr>
      <w:overflowPunct w:val="0"/>
      <w:autoSpaceDE w:val="0"/>
      <w:autoSpaceDN w:val="0"/>
      <w:adjustRightInd w:val="0"/>
      <w:spacing w:after="0"/>
      <w:ind w:left="480"/>
      <w:textAlignment w:val="baseline"/>
    </w:pPr>
    <w:rPr>
      <w:rFonts w:ascii="Arial" w:eastAsia="Times New Roman" w:hAnsi="Arial" w:cs="Arial"/>
      <w:szCs w:val="20"/>
      <w:lang w:val="en-US" w:eastAsia="en-GB"/>
    </w:rPr>
  </w:style>
  <w:style w:type="character" w:customStyle="1" w:styleId="BodyTextChar">
    <w:name w:val="Body Text Char"/>
    <w:basedOn w:val="DefaultParagraphFont"/>
    <w:link w:val="BodyText"/>
    <w:rsid w:val="000D1AC8"/>
    <w:rPr>
      <w:rFonts w:ascii="Arial" w:eastAsia="Times New Roman" w:hAnsi="Arial" w:cs="Arial"/>
      <w:szCs w:val="20"/>
      <w:lang w:val="en-US" w:eastAsia="en-GB"/>
    </w:rPr>
  </w:style>
  <w:style w:type="paragraph" w:styleId="BodyTextIndent">
    <w:name w:val="Body Text Indent"/>
    <w:basedOn w:val="Normal"/>
    <w:link w:val="BodyTextIndentChar"/>
    <w:rsid w:val="000D1AC8"/>
    <w:pPr>
      <w:spacing w:after="120"/>
      <w:ind w:left="283"/>
    </w:pPr>
    <w:rPr>
      <w:rFonts w:ascii="Calibri" w:eastAsia="Times New Roman" w:hAnsi="Calibri" w:cs="Arial"/>
      <w:lang w:eastAsia="en-GB"/>
    </w:rPr>
  </w:style>
  <w:style w:type="character" w:customStyle="1" w:styleId="BodyTextIndentChar">
    <w:name w:val="Body Text Indent Char"/>
    <w:basedOn w:val="DefaultParagraphFont"/>
    <w:link w:val="BodyTextIndent"/>
    <w:rsid w:val="000D1AC8"/>
    <w:rPr>
      <w:rFonts w:ascii="Calibri" w:eastAsia="Times New Roman" w:hAnsi="Calibri" w:cs="Arial"/>
      <w:lang w:eastAsia="en-GB"/>
    </w:rPr>
  </w:style>
  <w:style w:type="paragraph" w:styleId="ListParagraph">
    <w:name w:val="List Paragraph"/>
    <w:basedOn w:val="Normal"/>
    <w:uiPriority w:val="34"/>
    <w:qFormat/>
    <w:rsid w:val="000D1AC8"/>
    <w:pPr>
      <w:spacing w:after="0"/>
      <w:ind w:left="720"/>
    </w:pPr>
    <w:rPr>
      <w:rFonts w:ascii="Calibri" w:eastAsia="Times New Roman" w:hAnsi="Calibri" w:cs="Arial"/>
      <w:lang w:eastAsia="en-GB"/>
    </w:rPr>
  </w:style>
  <w:style w:type="paragraph" w:styleId="ListBullet">
    <w:name w:val="List Bullet"/>
    <w:basedOn w:val="List"/>
    <w:rsid w:val="000D1AC8"/>
    <w:pPr>
      <w:numPr>
        <w:numId w:val="3"/>
      </w:numPr>
      <w:tabs>
        <w:tab w:val="clear" w:pos="720"/>
        <w:tab w:val="num" w:pos="360"/>
      </w:tabs>
      <w:suppressAutoHyphens/>
      <w:spacing w:after="240" w:line="240" w:lineRule="atLeast"/>
      <w:ind w:left="0" w:firstLine="0"/>
      <w:contextualSpacing w:val="0"/>
      <w:jc w:val="both"/>
    </w:pPr>
    <w:rPr>
      <w:rFonts w:ascii="Arial" w:eastAsia="Times New Roman" w:hAnsi="Arial" w:cs="Times New Roman"/>
      <w:spacing w:val="-5"/>
      <w:sz w:val="20"/>
      <w:szCs w:val="20"/>
      <w:lang w:eastAsia="ar-SA"/>
    </w:rPr>
  </w:style>
  <w:style w:type="paragraph" w:styleId="List">
    <w:name w:val="List"/>
    <w:basedOn w:val="Normal"/>
    <w:uiPriority w:val="99"/>
    <w:semiHidden/>
    <w:unhideWhenUsed/>
    <w:rsid w:val="000D1AC8"/>
    <w:pPr>
      <w:ind w:left="283" w:hanging="283"/>
      <w:contextualSpacing/>
    </w:pPr>
  </w:style>
  <w:style w:type="paragraph" w:customStyle="1" w:styleId="Default">
    <w:name w:val="Default"/>
    <w:rsid w:val="00022A5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F0E83"/>
    <w:rPr>
      <w:sz w:val="16"/>
      <w:szCs w:val="16"/>
    </w:rPr>
  </w:style>
  <w:style w:type="paragraph" w:styleId="CommentText">
    <w:name w:val="annotation text"/>
    <w:basedOn w:val="Normal"/>
    <w:link w:val="CommentTextChar"/>
    <w:uiPriority w:val="99"/>
    <w:semiHidden/>
    <w:unhideWhenUsed/>
    <w:rsid w:val="001F0E83"/>
    <w:pPr>
      <w:spacing w:line="240" w:lineRule="auto"/>
    </w:pPr>
    <w:rPr>
      <w:sz w:val="20"/>
      <w:szCs w:val="20"/>
    </w:rPr>
  </w:style>
  <w:style w:type="character" w:customStyle="1" w:styleId="CommentTextChar">
    <w:name w:val="Comment Text Char"/>
    <w:basedOn w:val="DefaultParagraphFont"/>
    <w:link w:val="CommentText"/>
    <w:uiPriority w:val="99"/>
    <w:semiHidden/>
    <w:rsid w:val="001F0E83"/>
    <w:rPr>
      <w:sz w:val="20"/>
      <w:szCs w:val="20"/>
    </w:rPr>
  </w:style>
  <w:style w:type="paragraph" w:styleId="CommentSubject">
    <w:name w:val="annotation subject"/>
    <w:basedOn w:val="CommentText"/>
    <w:next w:val="CommentText"/>
    <w:link w:val="CommentSubjectChar"/>
    <w:uiPriority w:val="99"/>
    <w:semiHidden/>
    <w:unhideWhenUsed/>
    <w:rsid w:val="001F0E83"/>
    <w:rPr>
      <w:b/>
      <w:bCs/>
    </w:rPr>
  </w:style>
  <w:style w:type="character" w:customStyle="1" w:styleId="CommentSubjectChar">
    <w:name w:val="Comment Subject Char"/>
    <w:basedOn w:val="CommentTextChar"/>
    <w:link w:val="CommentSubject"/>
    <w:uiPriority w:val="99"/>
    <w:semiHidden/>
    <w:rsid w:val="001F0E83"/>
    <w:rPr>
      <w:b/>
      <w:bCs/>
      <w:sz w:val="20"/>
      <w:szCs w:val="20"/>
    </w:rPr>
  </w:style>
  <w:style w:type="table" w:styleId="TableGrid">
    <w:name w:val="Table Grid"/>
    <w:basedOn w:val="TableNormal"/>
    <w:uiPriority w:val="59"/>
    <w:rsid w:val="00AD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5F127B"/>
    <w:pPr>
      <w:spacing w:after="60" w:line="240" w:lineRule="auto"/>
    </w:pPr>
    <w:rPr>
      <w:rFonts w:ascii="Arial" w:eastAsia="Times New Roman" w:hAnsi="Arial" w:cs="Times New Roman"/>
      <w:color w:val="999999"/>
      <w:sz w:val="16"/>
      <w:szCs w:val="16"/>
    </w:rPr>
  </w:style>
  <w:style w:type="character" w:styleId="Hyperlink">
    <w:name w:val="Hyperlink"/>
    <w:uiPriority w:val="99"/>
    <w:rsid w:val="005F127B"/>
    <w:rPr>
      <w:rFonts w:ascii="Arial" w:hAnsi="Arial" w:cs="Times New Roman"/>
      <w:color w:val="0000FF"/>
      <w:sz w:val="21"/>
      <w:u w:val="single"/>
    </w:rPr>
  </w:style>
  <w:style w:type="paragraph" w:customStyle="1" w:styleId="Contact">
    <w:name w:val="Contact"/>
    <w:basedOn w:val="Normal"/>
    <w:rsid w:val="005F127B"/>
    <w:pPr>
      <w:spacing w:after="0" w:line="240" w:lineRule="auto"/>
    </w:pPr>
    <w:rPr>
      <w:rFonts w:ascii="Arial" w:eastAsia="Times New Roman" w:hAnsi="Arial" w:cs="Times New Roman"/>
      <w:color w:val="005DAB"/>
      <w:sz w:val="28"/>
      <w:szCs w:val="28"/>
      <w:lang w:eastAsia="en-GB"/>
    </w:rPr>
  </w:style>
  <w:style w:type="paragraph" w:styleId="Header">
    <w:name w:val="header"/>
    <w:basedOn w:val="Normal"/>
    <w:link w:val="HeaderChar"/>
    <w:uiPriority w:val="99"/>
    <w:unhideWhenUsed/>
    <w:rsid w:val="00C8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C34"/>
  </w:style>
  <w:style w:type="paragraph" w:styleId="Footer">
    <w:name w:val="footer"/>
    <w:basedOn w:val="Normal"/>
    <w:link w:val="FooterChar"/>
    <w:uiPriority w:val="99"/>
    <w:unhideWhenUsed/>
    <w:rsid w:val="00C8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C34"/>
  </w:style>
  <w:style w:type="paragraph" w:styleId="NormalWeb">
    <w:name w:val="Normal (Web)"/>
    <w:basedOn w:val="Normal"/>
    <w:uiPriority w:val="99"/>
    <w:semiHidden/>
    <w:unhideWhenUsed/>
    <w:rsid w:val="00C028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5219DB"/>
    <w:pPr>
      <w:keepNext/>
      <w:keepLines/>
      <w:spacing w:before="480"/>
      <w:ind w:left="0"/>
      <w:outlineLvl w:val="9"/>
    </w:pPr>
    <w:rPr>
      <w:rFonts w:asciiTheme="majorHAnsi" w:eastAsiaTheme="majorEastAsia" w:hAnsiTheme="majorHAnsi" w:cstheme="majorBidi"/>
      <w:color w:val="365F91" w:themeColor="accent1" w:themeShade="BF"/>
      <w:sz w:val="28"/>
      <w:szCs w:val="28"/>
      <w:u w:val="none"/>
      <w:lang w:val="en-US" w:eastAsia="ja-JP"/>
    </w:rPr>
  </w:style>
  <w:style w:type="paragraph" w:styleId="TOC1">
    <w:name w:val="toc 1"/>
    <w:basedOn w:val="Normal"/>
    <w:next w:val="Normal"/>
    <w:autoRedefine/>
    <w:uiPriority w:val="39"/>
    <w:unhideWhenUsed/>
    <w:rsid w:val="005219DB"/>
    <w:pPr>
      <w:spacing w:after="100"/>
    </w:pPr>
  </w:style>
  <w:style w:type="paragraph" w:styleId="DocumentMap">
    <w:name w:val="Document Map"/>
    <w:basedOn w:val="Normal"/>
    <w:link w:val="DocumentMapChar"/>
    <w:uiPriority w:val="99"/>
    <w:semiHidden/>
    <w:unhideWhenUsed/>
    <w:rsid w:val="00057EF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7EF7"/>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E03E1C"/>
    <w:rPr>
      <w:color w:val="605E5C"/>
      <w:shd w:val="clear" w:color="auto" w:fill="E1DFDD"/>
    </w:rPr>
  </w:style>
  <w:style w:type="character" w:customStyle="1" w:styleId="apple-converted-space">
    <w:name w:val="apple-converted-space"/>
    <w:basedOn w:val="DefaultParagraphFont"/>
    <w:rsid w:val="00E03E1C"/>
  </w:style>
  <w:style w:type="character" w:styleId="FollowedHyperlink">
    <w:name w:val="FollowedHyperlink"/>
    <w:basedOn w:val="DefaultParagraphFont"/>
    <w:uiPriority w:val="99"/>
    <w:semiHidden/>
    <w:unhideWhenUsed/>
    <w:rsid w:val="00B00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51692">
      <w:bodyDiv w:val="1"/>
      <w:marLeft w:val="0"/>
      <w:marRight w:val="0"/>
      <w:marTop w:val="0"/>
      <w:marBottom w:val="0"/>
      <w:divBdr>
        <w:top w:val="none" w:sz="0" w:space="0" w:color="auto"/>
        <w:left w:val="none" w:sz="0" w:space="0" w:color="auto"/>
        <w:bottom w:val="none" w:sz="0" w:space="0" w:color="auto"/>
        <w:right w:val="none" w:sz="0" w:space="0" w:color="auto"/>
      </w:divBdr>
    </w:div>
    <w:div w:id="336882421">
      <w:bodyDiv w:val="1"/>
      <w:marLeft w:val="0"/>
      <w:marRight w:val="0"/>
      <w:marTop w:val="0"/>
      <w:marBottom w:val="0"/>
      <w:divBdr>
        <w:top w:val="none" w:sz="0" w:space="0" w:color="auto"/>
        <w:left w:val="none" w:sz="0" w:space="0" w:color="auto"/>
        <w:bottom w:val="none" w:sz="0" w:space="0" w:color="auto"/>
        <w:right w:val="none" w:sz="0" w:space="0" w:color="auto"/>
      </w:divBdr>
    </w:div>
    <w:div w:id="349768295">
      <w:bodyDiv w:val="1"/>
      <w:marLeft w:val="0"/>
      <w:marRight w:val="0"/>
      <w:marTop w:val="0"/>
      <w:marBottom w:val="0"/>
      <w:divBdr>
        <w:top w:val="none" w:sz="0" w:space="0" w:color="auto"/>
        <w:left w:val="none" w:sz="0" w:space="0" w:color="auto"/>
        <w:bottom w:val="none" w:sz="0" w:space="0" w:color="auto"/>
        <w:right w:val="none" w:sz="0" w:space="0" w:color="auto"/>
      </w:divBdr>
    </w:div>
    <w:div w:id="445470019">
      <w:bodyDiv w:val="1"/>
      <w:marLeft w:val="0"/>
      <w:marRight w:val="0"/>
      <w:marTop w:val="0"/>
      <w:marBottom w:val="0"/>
      <w:divBdr>
        <w:top w:val="none" w:sz="0" w:space="0" w:color="auto"/>
        <w:left w:val="none" w:sz="0" w:space="0" w:color="auto"/>
        <w:bottom w:val="none" w:sz="0" w:space="0" w:color="auto"/>
        <w:right w:val="none" w:sz="0" w:space="0" w:color="auto"/>
      </w:divBdr>
    </w:div>
    <w:div w:id="499853217">
      <w:bodyDiv w:val="1"/>
      <w:marLeft w:val="0"/>
      <w:marRight w:val="0"/>
      <w:marTop w:val="0"/>
      <w:marBottom w:val="0"/>
      <w:divBdr>
        <w:top w:val="none" w:sz="0" w:space="0" w:color="auto"/>
        <w:left w:val="none" w:sz="0" w:space="0" w:color="auto"/>
        <w:bottom w:val="none" w:sz="0" w:space="0" w:color="auto"/>
        <w:right w:val="none" w:sz="0" w:space="0" w:color="auto"/>
      </w:divBdr>
    </w:div>
    <w:div w:id="501509618">
      <w:bodyDiv w:val="1"/>
      <w:marLeft w:val="0"/>
      <w:marRight w:val="0"/>
      <w:marTop w:val="0"/>
      <w:marBottom w:val="0"/>
      <w:divBdr>
        <w:top w:val="none" w:sz="0" w:space="0" w:color="auto"/>
        <w:left w:val="none" w:sz="0" w:space="0" w:color="auto"/>
        <w:bottom w:val="none" w:sz="0" w:space="0" w:color="auto"/>
        <w:right w:val="none" w:sz="0" w:space="0" w:color="auto"/>
      </w:divBdr>
    </w:div>
    <w:div w:id="718088477">
      <w:bodyDiv w:val="1"/>
      <w:marLeft w:val="0"/>
      <w:marRight w:val="0"/>
      <w:marTop w:val="0"/>
      <w:marBottom w:val="0"/>
      <w:divBdr>
        <w:top w:val="none" w:sz="0" w:space="0" w:color="auto"/>
        <w:left w:val="none" w:sz="0" w:space="0" w:color="auto"/>
        <w:bottom w:val="none" w:sz="0" w:space="0" w:color="auto"/>
        <w:right w:val="none" w:sz="0" w:space="0" w:color="auto"/>
      </w:divBdr>
    </w:div>
    <w:div w:id="880821688">
      <w:bodyDiv w:val="1"/>
      <w:marLeft w:val="0"/>
      <w:marRight w:val="0"/>
      <w:marTop w:val="0"/>
      <w:marBottom w:val="0"/>
      <w:divBdr>
        <w:top w:val="none" w:sz="0" w:space="0" w:color="auto"/>
        <w:left w:val="none" w:sz="0" w:space="0" w:color="auto"/>
        <w:bottom w:val="none" w:sz="0" w:space="0" w:color="auto"/>
        <w:right w:val="none" w:sz="0" w:space="0" w:color="auto"/>
      </w:divBdr>
    </w:div>
    <w:div w:id="896477394">
      <w:bodyDiv w:val="1"/>
      <w:marLeft w:val="0"/>
      <w:marRight w:val="0"/>
      <w:marTop w:val="0"/>
      <w:marBottom w:val="0"/>
      <w:divBdr>
        <w:top w:val="none" w:sz="0" w:space="0" w:color="auto"/>
        <w:left w:val="none" w:sz="0" w:space="0" w:color="auto"/>
        <w:bottom w:val="none" w:sz="0" w:space="0" w:color="auto"/>
        <w:right w:val="none" w:sz="0" w:space="0" w:color="auto"/>
      </w:divBdr>
    </w:div>
    <w:div w:id="924460214">
      <w:bodyDiv w:val="1"/>
      <w:marLeft w:val="0"/>
      <w:marRight w:val="0"/>
      <w:marTop w:val="0"/>
      <w:marBottom w:val="0"/>
      <w:divBdr>
        <w:top w:val="none" w:sz="0" w:space="0" w:color="auto"/>
        <w:left w:val="none" w:sz="0" w:space="0" w:color="auto"/>
        <w:bottom w:val="none" w:sz="0" w:space="0" w:color="auto"/>
        <w:right w:val="none" w:sz="0" w:space="0" w:color="auto"/>
      </w:divBdr>
    </w:div>
    <w:div w:id="926692744">
      <w:bodyDiv w:val="1"/>
      <w:marLeft w:val="0"/>
      <w:marRight w:val="0"/>
      <w:marTop w:val="0"/>
      <w:marBottom w:val="0"/>
      <w:divBdr>
        <w:top w:val="none" w:sz="0" w:space="0" w:color="auto"/>
        <w:left w:val="none" w:sz="0" w:space="0" w:color="auto"/>
        <w:bottom w:val="none" w:sz="0" w:space="0" w:color="auto"/>
        <w:right w:val="none" w:sz="0" w:space="0" w:color="auto"/>
      </w:divBdr>
    </w:div>
    <w:div w:id="1029532594">
      <w:bodyDiv w:val="1"/>
      <w:marLeft w:val="0"/>
      <w:marRight w:val="0"/>
      <w:marTop w:val="0"/>
      <w:marBottom w:val="0"/>
      <w:divBdr>
        <w:top w:val="none" w:sz="0" w:space="0" w:color="auto"/>
        <w:left w:val="none" w:sz="0" w:space="0" w:color="auto"/>
        <w:bottom w:val="none" w:sz="0" w:space="0" w:color="auto"/>
        <w:right w:val="none" w:sz="0" w:space="0" w:color="auto"/>
      </w:divBdr>
    </w:div>
    <w:div w:id="1048147408">
      <w:bodyDiv w:val="1"/>
      <w:marLeft w:val="0"/>
      <w:marRight w:val="0"/>
      <w:marTop w:val="0"/>
      <w:marBottom w:val="0"/>
      <w:divBdr>
        <w:top w:val="none" w:sz="0" w:space="0" w:color="auto"/>
        <w:left w:val="none" w:sz="0" w:space="0" w:color="auto"/>
        <w:bottom w:val="none" w:sz="0" w:space="0" w:color="auto"/>
        <w:right w:val="none" w:sz="0" w:space="0" w:color="auto"/>
      </w:divBdr>
    </w:div>
    <w:div w:id="1358004184">
      <w:bodyDiv w:val="1"/>
      <w:marLeft w:val="0"/>
      <w:marRight w:val="0"/>
      <w:marTop w:val="0"/>
      <w:marBottom w:val="0"/>
      <w:divBdr>
        <w:top w:val="none" w:sz="0" w:space="0" w:color="auto"/>
        <w:left w:val="none" w:sz="0" w:space="0" w:color="auto"/>
        <w:bottom w:val="none" w:sz="0" w:space="0" w:color="auto"/>
        <w:right w:val="none" w:sz="0" w:space="0" w:color="auto"/>
      </w:divBdr>
    </w:div>
    <w:div w:id="1361933638">
      <w:bodyDiv w:val="1"/>
      <w:marLeft w:val="0"/>
      <w:marRight w:val="0"/>
      <w:marTop w:val="0"/>
      <w:marBottom w:val="0"/>
      <w:divBdr>
        <w:top w:val="none" w:sz="0" w:space="0" w:color="auto"/>
        <w:left w:val="none" w:sz="0" w:space="0" w:color="auto"/>
        <w:bottom w:val="none" w:sz="0" w:space="0" w:color="auto"/>
        <w:right w:val="none" w:sz="0" w:space="0" w:color="auto"/>
      </w:divBdr>
    </w:div>
    <w:div w:id="1456753337">
      <w:bodyDiv w:val="1"/>
      <w:marLeft w:val="0"/>
      <w:marRight w:val="0"/>
      <w:marTop w:val="0"/>
      <w:marBottom w:val="0"/>
      <w:divBdr>
        <w:top w:val="none" w:sz="0" w:space="0" w:color="auto"/>
        <w:left w:val="none" w:sz="0" w:space="0" w:color="auto"/>
        <w:bottom w:val="none" w:sz="0" w:space="0" w:color="auto"/>
        <w:right w:val="none" w:sz="0" w:space="0" w:color="auto"/>
      </w:divBdr>
    </w:div>
    <w:div w:id="1462306630">
      <w:bodyDiv w:val="1"/>
      <w:marLeft w:val="0"/>
      <w:marRight w:val="0"/>
      <w:marTop w:val="0"/>
      <w:marBottom w:val="0"/>
      <w:divBdr>
        <w:top w:val="none" w:sz="0" w:space="0" w:color="auto"/>
        <w:left w:val="none" w:sz="0" w:space="0" w:color="auto"/>
        <w:bottom w:val="none" w:sz="0" w:space="0" w:color="auto"/>
        <w:right w:val="none" w:sz="0" w:space="0" w:color="auto"/>
      </w:divBdr>
    </w:div>
    <w:div w:id="1524590806">
      <w:bodyDiv w:val="1"/>
      <w:marLeft w:val="0"/>
      <w:marRight w:val="0"/>
      <w:marTop w:val="0"/>
      <w:marBottom w:val="0"/>
      <w:divBdr>
        <w:top w:val="none" w:sz="0" w:space="0" w:color="auto"/>
        <w:left w:val="none" w:sz="0" w:space="0" w:color="auto"/>
        <w:bottom w:val="none" w:sz="0" w:space="0" w:color="auto"/>
        <w:right w:val="none" w:sz="0" w:space="0" w:color="auto"/>
      </w:divBdr>
    </w:div>
    <w:div w:id="1803377289">
      <w:bodyDiv w:val="1"/>
      <w:marLeft w:val="0"/>
      <w:marRight w:val="0"/>
      <w:marTop w:val="0"/>
      <w:marBottom w:val="0"/>
      <w:divBdr>
        <w:top w:val="none" w:sz="0" w:space="0" w:color="auto"/>
        <w:left w:val="none" w:sz="0" w:space="0" w:color="auto"/>
        <w:bottom w:val="none" w:sz="0" w:space="0" w:color="auto"/>
        <w:right w:val="none" w:sz="0" w:space="0" w:color="auto"/>
      </w:divBdr>
    </w:div>
    <w:div w:id="1842162770">
      <w:bodyDiv w:val="1"/>
      <w:marLeft w:val="0"/>
      <w:marRight w:val="0"/>
      <w:marTop w:val="0"/>
      <w:marBottom w:val="0"/>
      <w:divBdr>
        <w:top w:val="none" w:sz="0" w:space="0" w:color="auto"/>
        <w:left w:val="none" w:sz="0" w:space="0" w:color="auto"/>
        <w:bottom w:val="none" w:sz="0" w:space="0" w:color="auto"/>
        <w:right w:val="none" w:sz="0" w:space="0" w:color="auto"/>
      </w:divBdr>
    </w:div>
    <w:div w:id="19383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stems.digital.nhs.uk/infogov/iga/rmcop16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C3A9-DB39-4A22-9D81-4D3CA0A0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emis_user</cp:lastModifiedBy>
  <cp:revision>3</cp:revision>
  <cp:lastPrinted>2018-08-14T11:08:00Z</cp:lastPrinted>
  <dcterms:created xsi:type="dcterms:W3CDTF">2018-08-14T11:09:00Z</dcterms:created>
  <dcterms:modified xsi:type="dcterms:W3CDTF">2018-08-14T11:24:00Z</dcterms:modified>
</cp:coreProperties>
</file>